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386"/>
      </w:tblGrid>
      <w:tr w:rsidR="00D90C3B" w:rsidRPr="00D90C3B" w14:paraId="1C787527" w14:textId="77777777" w:rsidTr="00C12085">
        <w:trPr>
          <w:cantSplit/>
        </w:trPr>
        <w:tc>
          <w:tcPr>
            <w:tcW w:w="4537" w:type="dxa"/>
          </w:tcPr>
          <w:p w14:paraId="26732EE7" w14:textId="77777777" w:rsidR="00D90C3B" w:rsidRPr="00D90C3B" w:rsidRDefault="00D90C3B" w:rsidP="00D90C3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0"/>
                <w:sz w:val="26"/>
                <w:szCs w:val="24"/>
                <w:lang w:eastAsia="ar-SA"/>
                <w14:ligatures w14:val="none"/>
              </w:rPr>
            </w:pPr>
          </w:p>
          <w:p w14:paraId="2BDB13D5" w14:textId="77777777" w:rsidR="00D90C3B" w:rsidRPr="00D90C3B" w:rsidRDefault="00D90C3B" w:rsidP="00D90C3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0"/>
                <w:sz w:val="26"/>
                <w:szCs w:val="24"/>
                <w:lang w:eastAsia="ar-SA"/>
                <w14:ligatures w14:val="none"/>
              </w:rPr>
            </w:pPr>
          </w:p>
          <w:p w14:paraId="0E94A9E6" w14:textId="77777777" w:rsidR="00D90C3B" w:rsidRPr="00D90C3B" w:rsidRDefault="00D90C3B" w:rsidP="00D90C3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kern w:val="0"/>
                <w:sz w:val="26"/>
                <w:szCs w:val="24"/>
                <w:lang w:eastAsia="ar-SA"/>
                <w14:ligatures w14:val="none"/>
              </w:rPr>
            </w:pPr>
          </w:p>
        </w:tc>
        <w:tc>
          <w:tcPr>
            <w:tcW w:w="5386" w:type="dxa"/>
          </w:tcPr>
          <w:p w14:paraId="46F64A3B" w14:textId="77777777" w:rsidR="00D90C3B" w:rsidRPr="00D90C3B" w:rsidRDefault="00D90C3B" w:rsidP="00D90C3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D90C3B">
              <w:rPr>
                <w:rFonts w:ascii="Times New Roman" w:eastAsia="MS Mincho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                Принято на заседании Совета</w:t>
            </w:r>
          </w:p>
          <w:p w14:paraId="718AA28E" w14:textId="77777777" w:rsidR="00D90C3B" w:rsidRPr="00D90C3B" w:rsidRDefault="00D90C3B" w:rsidP="00D90C3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D90C3B">
              <w:rPr>
                <w:rFonts w:ascii="Times New Roman" w:eastAsia="MS Mincho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 xml:space="preserve">                11 июля 2024 г.</w:t>
            </w:r>
          </w:p>
          <w:p w14:paraId="6E8B1BB7" w14:textId="5D905C6F" w:rsidR="00D90C3B" w:rsidRPr="00D90C3B" w:rsidRDefault="00D90C3B" w:rsidP="00D90C3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 w:cs="Times New Roman"/>
                <w:b/>
                <w:bCs/>
                <w:spacing w:val="20"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pacing w:val="20"/>
                <w:kern w:val="0"/>
                <w:sz w:val="28"/>
                <w:szCs w:val="28"/>
                <w:lang w:eastAsia="ar-SA"/>
                <w14:ligatures w14:val="none"/>
              </w:rPr>
              <w:t xml:space="preserve">             </w:t>
            </w:r>
            <w:r w:rsidRPr="00D90C3B">
              <w:rPr>
                <w:rFonts w:ascii="Times New Roman" w:eastAsia="MS Mincho" w:hAnsi="Times New Roman" w:cs="Times New Roman"/>
                <w:b/>
                <w:bCs/>
                <w:spacing w:val="20"/>
                <w:kern w:val="0"/>
                <w:sz w:val="28"/>
                <w:szCs w:val="28"/>
                <w:lang w:eastAsia="ar-SA"/>
                <w14:ligatures w14:val="none"/>
              </w:rPr>
              <w:t>№ 244-3.</w:t>
            </w:r>
            <w:r>
              <w:rPr>
                <w:rFonts w:ascii="Times New Roman" w:eastAsia="MS Mincho" w:hAnsi="Times New Roman" w:cs="Times New Roman"/>
                <w:b/>
                <w:bCs/>
                <w:spacing w:val="20"/>
                <w:kern w:val="0"/>
                <w:sz w:val="28"/>
                <w:szCs w:val="28"/>
                <w:lang w:eastAsia="ar-SA"/>
                <w14:ligatures w14:val="none"/>
              </w:rPr>
              <w:t>2</w:t>
            </w:r>
            <w:r w:rsidRPr="00D90C3B">
              <w:rPr>
                <w:rFonts w:ascii="Times New Roman" w:eastAsia="MS Mincho" w:hAnsi="Times New Roman" w:cs="Times New Roman"/>
                <w:b/>
                <w:bCs/>
                <w:spacing w:val="20"/>
                <w:kern w:val="0"/>
                <w:sz w:val="28"/>
                <w:szCs w:val="28"/>
                <w:lang w:eastAsia="ar-SA"/>
                <w14:ligatures w14:val="none"/>
              </w:rPr>
              <w:t>/2024</w:t>
            </w:r>
          </w:p>
          <w:p w14:paraId="69B33EAD" w14:textId="77777777" w:rsidR="00D90C3B" w:rsidRPr="00D90C3B" w:rsidRDefault="00D90C3B" w:rsidP="00D90C3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ind w:left="42" w:right="-87"/>
              <w:textAlignment w:val="baseline"/>
              <w:rPr>
                <w:rFonts w:ascii="Times New Roman" w:eastAsia="MS Mincho" w:hAnsi="Times New Roman" w:cs="Times New Roman"/>
                <w:b/>
                <w:kern w:val="0"/>
                <w:sz w:val="26"/>
                <w:szCs w:val="24"/>
                <w:lang w:eastAsia="ar-SA"/>
                <w14:ligatures w14:val="none"/>
              </w:rPr>
            </w:pPr>
          </w:p>
        </w:tc>
      </w:tr>
    </w:tbl>
    <w:p w14:paraId="49291C41" w14:textId="77777777" w:rsidR="00D90C3B" w:rsidRDefault="00D90C3B" w:rsidP="003E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A417A65" w14:textId="5CDA98E9" w:rsidR="003E00FF" w:rsidRDefault="003E00FF" w:rsidP="003E0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ЭКСПЕРТНОЕ ЗАКЛЮЧЕНИЕ</w:t>
      </w:r>
    </w:p>
    <w:p w14:paraId="152043ED" w14:textId="77777777" w:rsidR="00E20ED6" w:rsidRDefault="003E00FF" w:rsidP="003E00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 проект</w:t>
      </w:r>
      <w:r w:rsidR="001C72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у </w:t>
      </w: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федер</w:t>
      </w:r>
      <w:r w:rsidR="00E20ED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льн</w:t>
      </w:r>
      <w:r w:rsidR="001C72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ого </w:t>
      </w: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закон</w:t>
      </w:r>
      <w:r w:rsidR="001C725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bookmarkStart w:id="0" w:name="_Hlk168415935"/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«О внесении изменений в Федеральный</w:t>
      </w:r>
    </w:p>
    <w:p w14:paraId="2D013BCD" w14:textId="093D67D6" w:rsidR="003E00FF" w:rsidRPr="003E00FF" w:rsidRDefault="003E00FF" w:rsidP="003E00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закон «Об обществах с ограниченной ответственностью»</w:t>
      </w:r>
      <w:bookmarkEnd w:id="0"/>
    </w:p>
    <w:p w14:paraId="235FE969" w14:textId="77777777" w:rsidR="003E00FF" w:rsidRPr="003E00FF" w:rsidRDefault="003E00FF" w:rsidP="003E00F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E1FB191" w14:textId="790F03C3" w:rsidR="003E00FF" w:rsidRPr="003E00FF" w:rsidRDefault="003E00FF" w:rsidP="003E0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федерального закона </w:t>
      </w:r>
      <w:r w:rsidR="00C9750D" w:rsidRPr="00C975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внесении изменений в Федеральный закон «Об обществах с ограниченной ответственностью»</w:t>
      </w:r>
      <w:r w:rsidR="00C975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(далее – Проект) направлен на экспертизу в Совет при Президенте Российской Федерации по кодификации и совершенствованию гражданского законодательства (далее – Совет) Министерством экономического развития Российской Федерации (письмо от 28 мая 2024 года № 18350-ИТ/Д20и). Вместе с Проектом в Совет направлен 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роект федерального закона </w:t>
      </w:r>
      <w:r w:rsidR="00C9750D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внесении изменений в статьи 93 и 94 части первой Гражданского кодекса Российской Федерации»</w:t>
      </w:r>
      <w:r w:rsidR="00F009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F009E3" w:rsidRPr="00F009E3">
        <w:t xml:space="preserve"> </w:t>
      </w:r>
      <w:r w:rsidR="00F009E3" w:rsidRPr="00F009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которому дано отдельное заключение.</w:t>
      </w:r>
    </w:p>
    <w:p w14:paraId="40EBD17B" w14:textId="0C024919" w:rsidR="003E00FF" w:rsidRPr="003E00FF" w:rsidRDefault="003E00FF" w:rsidP="003E0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 подготовлен во исполнение пункта 15 плана мероприятий («дорожной карты») реализации механизма управления системными изменениями нормативно-правового регулирования предпринимательской деятельности «Трансформация делового климата» «Корпоративное управление, специальные административные районы, процедура банкротства, оценочная деятельность», утвержденного распоряжением Правительства Российской Федерации от 2 июля 2020 г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1723-р.</w:t>
      </w:r>
    </w:p>
    <w:p w14:paraId="130920D9" w14:textId="49E0FC9F" w:rsidR="007A72C9" w:rsidRPr="00CD7EC0" w:rsidRDefault="00DE236C" w:rsidP="003E00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Согласно пояснительной записке 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подготовка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направлен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создание возможности выплаты рыночной стоимости доли общества с ограниченной ответственностью на основании волеизъявления лица, которому 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должна быть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выпла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чена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действительн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доли </w:t>
      </w:r>
      <w:r w:rsidR="008E00E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обращени</w:t>
      </w:r>
      <w:r w:rsidR="008E00E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взыскания на долю либо 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выход</w:t>
      </w:r>
      <w:r w:rsidR="008E00E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исключени</w:t>
      </w:r>
      <w:r w:rsidR="008E00E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участника из общества. </w:t>
      </w:r>
    </w:p>
    <w:p w14:paraId="4ADE6C2C" w14:textId="57237DBD" w:rsidR="00F06A2B" w:rsidRPr="00F06A2B" w:rsidRDefault="003E00FF" w:rsidP="0051214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этой целью </w:t>
      </w:r>
      <w:r w:rsidR="00E20E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разработчики Проекта предлагают внести 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FE576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статьи 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="0013441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25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C0EDB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BC0EDB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3643F3" w:rsidRPr="00CD7EC0">
        <w:t xml:space="preserve"> </w:t>
      </w:r>
      <w:r w:rsidR="003643F3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8 февраля 1998 года №</w:t>
      </w:r>
      <w:r w:rsidR="0075424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643F3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14-ФЗ</w:t>
      </w:r>
      <w:r w:rsidR="00BC0EDB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«Об обществах с ограниченной ответственностью»</w:t>
      </w:r>
      <w:r w:rsidR="00121BE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(далее – Закон об ООО)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F04A63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</w:t>
      </w:r>
      <w:r w:rsidR="00AF6DB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оставляющие 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случаях приобретения обществом 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такой доли 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или 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обращения на нее взыскания </w:t>
      </w:r>
      <w:r w:rsidR="00AF6DB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возможность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выплаты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ее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F5FF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действительной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стоимости, определяемой 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отчета независим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оценщик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размере ее рыночной стоимости. </w:t>
      </w:r>
      <w:r w:rsidR="0041655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Одновременно 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абзаце втором пункта 2 статьи 14</w:t>
      </w:r>
      <w:r w:rsidR="00377353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3C0AC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абзаце третьем пункта 2 статьи 23</w:t>
      </w:r>
      <w:r w:rsidR="00F61E6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Закона об ООО </w:t>
      </w:r>
      <w:r w:rsidR="0094107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закрепляются нормы</w:t>
      </w:r>
      <w:r w:rsidR="00E1042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94107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допускающие </w:t>
      </w:r>
      <w:r w:rsidR="0041655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возможность </w:t>
      </w:r>
      <w:r w:rsidR="00E1042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установления </w:t>
      </w:r>
      <w:r w:rsidR="008C6F0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уставе общества</w:t>
      </w:r>
      <w:r w:rsidR="00D12592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единогласным решением участников </w:t>
      </w:r>
      <w:r w:rsidR="002878DA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иного порядка определения или расчета стоимости доли</w:t>
      </w:r>
      <w:r w:rsidR="00B864F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случае выхода </w:t>
      </w:r>
      <w:r w:rsidR="004E588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участника</w:t>
      </w:r>
      <w:r w:rsidR="00B864F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общества</w:t>
      </w:r>
      <w:r w:rsidR="004E588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следует</w:t>
      </w:r>
      <w:r w:rsidR="0021516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71C9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 пояснительной записки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предлагаемые изменения обусловлены </w:t>
      </w:r>
      <w:r w:rsidR="007532A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значительным </w:t>
      </w:r>
      <w:r w:rsidR="009201A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количеством</w:t>
      </w:r>
      <w:r w:rsidR="007532A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B62D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судебных </w:t>
      </w:r>
      <w:r w:rsidR="007532A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споров</w:t>
      </w:r>
      <w:r w:rsidR="008B62D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532A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поводу </w:t>
      </w:r>
      <w:r w:rsidR="009201A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выплаты действительной стоимости доли</w:t>
      </w:r>
      <w:r w:rsidR="002422B8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определения размера</w:t>
      </w:r>
      <w:r w:rsidR="001708F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выплат</w:t>
      </w:r>
      <w:r w:rsidR="001D2AB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34C9C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F5FA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также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практикой</w:t>
      </w:r>
      <w:r w:rsidR="0066547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судов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давно </w:t>
      </w:r>
      <w:r w:rsidR="0066547E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использующих </w:t>
      </w:r>
      <w:r w:rsidR="002773CC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определения </w:t>
      </w:r>
      <w:r w:rsidR="00B3445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действительной стоимости </w:t>
      </w:r>
      <w:r w:rsidR="00151BA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="002773CC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размера выплат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рыночный подход</w:t>
      </w:r>
      <w:r w:rsidR="005121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23D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FD5AB9" w14:textId="7F3AD8AB" w:rsidR="003E00FF" w:rsidRPr="003E00FF" w:rsidRDefault="00215169" w:rsidP="003E00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3E00F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приведенной разработчиками </w:t>
      </w:r>
      <w:r w:rsidR="00622B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3E00F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оценкой текущей ситуации</w:t>
      </w:r>
      <w:r w:rsidRP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ледует в целом согласиться</w:t>
      </w:r>
      <w:r w:rsidR="003E00F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Нередко стоимость чистых активов общества, рассчитанная по данным бухгалтерского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баланса, может значительно отличаться от их рыночной стоимости, не отраж</w:t>
      </w:r>
      <w:r w:rsidR="003E00FF" w:rsidRPr="009A7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9A7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916583" w:rsidRPr="009A77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реального финансового положения </w:t>
      </w:r>
      <w:r w:rsidR="00622B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общества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зачастую объясняется нерегулярностью переоценки активов,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некорректным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отражение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активов общества в бухгалтерском учете и пр. </w:t>
      </w:r>
    </w:p>
    <w:p w14:paraId="438E565B" w14:textId="1614B40E" w:rsidR="003E00FF" w:rsidRPr="003E00FF" w:rsidRDefault="003E00FF" w:rsidP="003E00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Практика показывает, что под действительной стоимостью доли суд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понима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ют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именно рыночн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стоимость чистых активов</w:t>
      </w:r>
      <w:r w:rsidR="000A096D">
        <w:rPr>
          <w:rStyle w:val="aa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footnoteReference w:id="1"/>
      </w:r>
      <w:r w:rsid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F652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лгоритм </w:t>
      </w:r>
      <w:r w:rsidR="00F652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ее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расчета соответствует требованиям проведения оценки в рамках, как правило, затратного подхода, определенного Федер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льным стандартом оценки «Оценка бизнеса» (ФСО № 8), утвержденным приказом Минэкономразвития России от 1 июня 2015 г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326. Следует отметить, что при оценке объектов основных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средств для целей признания в бухгалтерском учете их стоимость должна быть максимально приближена к справедливой стоимости, определяемой в порядке, предусмотренном Международным стандартом финансовой отчетности (IFRS) 13 «Оценка справедливой стоимости», введенным в действие приказом Мин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ина России от 28 декабря 2015 г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217н. </w:t>
      </w:r>
    </w:p>
    <w:p w14:paraId="4693B128" w14:textId="31D45794" w:rsidR="003E00FF" w:rsidRDefault="00BB66B7" w:rsidP="003E00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того, как 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следует из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 Федерального закона </w:t>
      </w:r>
      <w:r w:rsidR="009433DF" w:rsidRPr="009433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29</w:t>
      </w:r>
      <w:r w:rsidR="009433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июля </w:t>
      </w:r>
      <w:r w:rsidR="009433DF" w:rsidRPr="009433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1998 </w:t>
      </w:r>
      <w:r w:rsidR="009433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года №</w:t>
      </w:r>
      <w:r w:rsidR="009433DF" w:rsidRPr="009433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135-ФЗ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оценочной деятельности», если не определен конкретный вид стоимости объекта оценки, установлению подлежит </w:t>
      </w:r>
      <w:r w:rsidR="003E00FF" w:rsidRPr="003E00F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рыночная стоимость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данного объекта. Указанное правило подлежит применению и в случае использования в нормативном правовом акте не предусмотренных 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данным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Законом или стандартами оценки терминов, определяющих вид стоимости объекта оценки, в том числе терминов </w:t>
      </w:r>
      <w:r w:rsidR="003E00FF" w:rsidRPr="003E00F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«действительная стоимость», «разумная стоимость», «эквивалентная стоимость», «реальная стоимость» и других.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0D580A" w14:textId="7485E86B" w:rsidR="00BB66B7" w:rsidRPr="003E00FF" w:rsidRDefault="006D683B" w:rsidP="003E00F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8A149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случаях </w:t>
      </w:r>
      <w:r w:rsidR="00BB6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обращени</w:t>
      </w:r>
      <w:r w:rsidR="005806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BB66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взыскания на долю в уставном капитале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общества с ограниченной ответственностью </w:t>
      </w:r>
      <w:r w:rsidR="00541A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оценка такой доли </w:t>
      </w:r>
      <w:r w:rsidR="000649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</w:t>
      </w:r>
      <w:r w:rsidR="00D31A09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</w:t>
      </w:r>
      <w:r w:rsidR="000649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ее </w:t>
      </w:r>
      <w:r w:rsidR="00D31A09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стоимости </w:t>
      </w:r>
      <w:r w:rsidR="000649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реализации </w:t>
      </w:r>
      <w:r w:rsidR="00E42A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торгах </w:t>
      </w:r>
      <w:r w:rsidR="00AB31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производится судебным </w:t>
      </w:r>
      <w:r w:rsidR="00915E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приставом по рыночным ценам</w:t>
      </w:r>
      <w:r w:rsidR="00BB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привлечением оценщика</w:t>
      </w:r>
      <w:r w:rsidR="00541A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541A40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</w:t>
      </w:r>
      <w:r w:rsidR="00541A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41A40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части 4 статьи 85 Федерального закона от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октября </w:t>
      </w:r>
      <w:r w:rsidR="00541A40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2007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года </w:t>
      </w:r>
      <w:r w:rsidR="00541A40" w:rsidRPr="00D31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229-ФЗ «Об исполнительном производстве»</w:t>
      </w:r>
      <w:r w:rsidR="004555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2B002C0A" w14:textId="6F819AF5" w:rsidR="003E00FF" w:rsidRPr="003E00FF" w:rsidRDefault="003E00FF" w:rsidP="003E00F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Таким образом, 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относительно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методик</w:t>
      </w:r>
      <w:r w:rsidR="006D68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определения стоимости доли при исключении или выходе участника из общества можно сделать вывод, что российский подход с учетом судебной практики в общих чертах отвечает мировым стандартам, основанным на рыночной оценке стоимости чистых активов. Поэтому привязка действительной стоимости доли </w:t>
      </w:r>
      <w:r w:rsidR="00D35459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цел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D35459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определения размера причитающихся участнику 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общества </w:t>
      </w:r>
      <w:r w:rsidR="00D35459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выплат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к рыночной, а к балансовой стоимости чистых активов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представляется методически неверным решением, требующим корректировки законодательства. </w:t>
      </w:r>
    </w:p>
    <w:p w14:paraId="05A8675F" w14:textId="0A852F78" w:rsidR="00622F49" w:rsidRDefault="003E00FF" w:rsidP="003E00F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 этом смысле стремление разработчиков </w:t>
      </w:r>
      <w:r w:rsidR="001F1CF6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  <w:r w:rsidR="001F1C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1F1CF6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скорректировать действующее регулирование</w:t>
      </w:r>
      <w:r w:rsidR="00F92B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371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целом</w:t>
      </w:r>
      <w:r w:rsidR="003371AC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15169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заслуживает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одобрения</w:t>
      </w:r>
      <w:r w:rsidR="001945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8645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Вместе с тем</w:t>
      </w:r>
      <w:r w:rsidR="006230EF" w:rsidRPr="006230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предложенные законодательные решения нельзя признать удачными.</w:t>
      </w:r>
    </w:p>
    <w:p w14:paraId="000547DE" w14:textId="1A54B706" w:rsidR="00DB01E9" w:rsidRDefault="00530E48" w:rsidP="00622F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="00B47A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Прежде всего</w:t>
      </w:r>
      <w:r w:rsidR="00345D8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30C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обращает на себя внимание</w:t>
      </w:r>
      <w:r w:rsidR="00622F49" w:rsidRPr="00622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крайняя лаконичность пояснительной записки</w:t>
      </w:r>
      <w:r w:rsidR="0064185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622F49" w:rsidRPr="00622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отсутствие 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ней </w:t>
      </w:r>
      <w:r w:rsidR="00622F49" w:rsidRPr="00622F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содержательной аргументации, подкрепленной </w:t>
      </w:r>
      <w:r w:rsidR="00622F49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анализом </w:t>
      </w:r>
      <w:proofErr w:type="spellStart"/>
      <w:r w:rsidR="00622F49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правоприменения</w:t>
      </w:r>
      <w:proofErr w:type="spellEnd"/>
      <w:r w:rsidR="00622F49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4972C3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22F49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(или) сравнительно-правовым анализом</w:t>
      </w:r>
      <w:r w:rsidR="008D1907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7A6CE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</w:t>
      </w:r>
      <w:r w:rsidR="0050494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чем это </w:t>
      </w:r>
      <w:r w:rsidR="007A6CE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касается как самого механизма </w:t>
      </w:r>
      <w:r w:rsidR="008D1907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реализации рыночного подхода к определению действительной</w:t>
      </w:r>
      <w:r w:rsidR="00DE4F80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0494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стоимости доли</w:t>
      </w:r>
      <w:r w:rsidR="00DE4F80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41857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случае выход</w:t>
      </w:r>
      <w:r w:rsidR="0029764A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участника из общества </w:t>
      </w:r>
      <w:r w:rsidR="004C1548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обращения взыскания на</w:t>
      </w:r>
      <w:r w:rsidR="00D557E2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долю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D7E0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</w:t>
      </w:r>
      <w:r w:rsidR="005B105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ED7E0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</w:t>
      </w:r>
      <w:r w:rsidR="00ED7E0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части возможности установления </w:t>
      </w:r>
      <w:r w:rsidR="00661C53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уставе общества </w:t>
      </w:r>
      <w:r w:rsidR="005B1054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порядка </w:t>
      </w:r>
      <w:r w:rsidR="00545632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определения действительной стоимости</w:t>
      </w:r>
      <w:r w:rsidR="00545632" w:rsidRPr="005456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доли</w:t>
      </w:r>
      <w:r w:rsidR="00661C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545632" w:rsidRPr="005456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C6EA18" w14:textId="46D88B6D" w:rsidR="003E00FF" w:rsidRPr="003E00FF" w:rsidRDefault="00530E48" w:rsidP="009D6E88">
      <w:pPr>
        <w:tabs>
          <w:tab w:val="left" w:pos="709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9D6E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5B7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ерьезные возражения </w:t>
      </w:r>
      <w:r w:rsidR="005B7D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5B7D3D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ызывает 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предлагаемый</w:t>
      </w:r>
      <w:r w:rsidR="00215169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разработчиками 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подход к определению стоимости доли в случае выхода или исключения участника из общества </w:t>
      </w:r>
      <w:r w:rsidR="004165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либо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обращения взыскания на долю участника. </w:t>
      </w:r>
    </w:p>
    <w:p w14:paraId="08BDB4E4" w14:textId="62A31CD1" w:rsidR="006A0D63" w:rsidRPr="00904AFE" w:rsidRDefault="003E00FF" w:rsidP="0006434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</w:t>
      </w:r>
      <w:r w:rsidR="00D27B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предусматривает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</w:t>
      </w:r>
      <w:r w:rsidR="00D27B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ение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</w:t>
      </w:r>
      <w:r w:rsidR="00D27B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23 Закона об ООО пунктом 9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первому абзацу данного пункта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«при переходе к обществу доли или части доли в уставном капитале общества 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настоящей статьей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 общества или иное лицо, которому подлежит выплата действительной стоимости доли или части доли участника общества, вправе направить в общество заявление об установлении действительной стоимости такой доли или части доли в размере рыночной стоимости такой доли или части доли. В указанном случае </w:t>
      </w:r>
      <w:r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подлежащая выплате действительная стоимость доли или части доли участника общества устанавливается в</w:t>
      </w:r>
      <w:r w:rsidRPr="00904AF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размере рыночной стоимости</w:t>
      </w:r>
      <w:r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такой доли или части доли». </w:t>
      </w:r>
    </w:p>
    <w:p w14:paraId="2CD1E59F" w14:textId="5ABB5AD6" w:rsidR="00306E26" w:rsidRDefault="00C66389" w:rsidP="00306E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Таким образом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C193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предложенный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разработчиками </w:t>
      </w:r>
      <w:r w:rsidR="00D354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4C193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механизм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подразумева</w:t>
      </w:r>
      <w:r w:rsidR="00204DC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ет 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использование двух разных видов действительной стоимости </w:t>
      </w:r>
      <w:r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доли</w:t>
      </w:r>
      <w:r w:rsidR="00A64F1F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41E1F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определяемой</w:t>
      </w:r>
      <w:r w:rsidR="00A505F7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959DC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различными способами</w:t>
      </w:r>
      <w:r w:rsidR="00204E46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(рыночная стоимость </w:t>
      </w:r>
      <w:r w:rsidR="000A3893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доли </w:t>
      </w:r>
      <w:r w:rsidR="00204E46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="000A3893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стоимость доли участника общества, соответствующая части стоимости чистых активов общества, пропорциональной размеру доли </w:t>
      </w:r>
      <w:r w:rsidR="00B870DA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такого участника</w:t>
      </w:r>
      <w:r w:rsidR="00204E46"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7A44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151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этом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713BA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выбор</w:t>
      </w:r>
      <w:r w:rsidR="00F7525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метод</w:t>
      </w:r>
      <w:r w:rsidR="004713BA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ики </w:t>
      </w:r>
      <w:r w:rsidR="00F7525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расчета</w:t>
      </w:r>
      <w:r w:rsidR="00A64F1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7525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поставлен</w:t>
      </w:r>
      <w:r w:rsidR="004713BA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зависимость от волеизъявления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участника или кредитора</w:t>
      </w:r>
      <w:r w:rsidR="00E63CF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которым </w:t>
      </w:r>
      <w:r w:rsidR="00B637E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итоге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будет определят</w:t>
      </w:r>
      <w:r w:rsidR="005474C0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ся </w:t>
      </w:r>
      <w:r w:rsidR="00FC686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размер,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причитающихся 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ему</w:t>
      </w:r>
      <w:r w:rsidR="00FC6861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выплат, что 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представляется</w:t>
      </w:r>
      <w:r w:rsidR="00B617C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меньшей мере странн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="00306E2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B4FD8FA" w14:textId="34A076EC" w:rsidR="00CB2CAD" w:rsidRPr="00904AFE" w:rsidRDefault="00A95917" w:rsidP="00306E2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Предложенное регулирование н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практике может прив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ести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</w:t>
      </w:r>
      <w:r w:rsidR="00B174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</w:t>
      </w:r>
      <w:r w:rsidR="00B61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ению</w:t>
      </w:r>
      <w:r w:rsidR="00B174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E63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равновеси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AE63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852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интересов участников корпоративных отношений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результате</w:t>
      </w:r>
      <w:r w:rsidR="00DC3F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E3B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ени</w:t>
      </w:r>
      <w:r w:rsidR="00DE3B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DC3F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F312E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необо</w:t>
      </w:r>
      <w:r w:rsidR="001319FD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снованны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 w:rsidR="00DC3FA5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преимуществ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участнику, </w:t>
      </w:r>
      <w:r w:rsidR="00AF312E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E264AE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ыходящему</w:t>
      </w:r>
      <w:r w:rsidR="00AF312E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81206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исключ</w:t>
      </w:r>
      <w:r w:rsidR="00AF312E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аемому из общества. </w:t>
      </w:r>
      <w:r w:rsidR="006E1C23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="00C27B89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апример,</w:t>
      </w:r>
      <w:r w:rsidR="00CB2CAD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319FD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возможны случаи</w:t>
      </w:r>
      <w:r w:rsidR="006E1C23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когда </w:t>
      </w:r>
      <w:r w:rsidR="00C27B89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действительная стоимость доли </w:t>
      </w:r>
      <w:r w:rsidR="00AD46E6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будет</w:t>
      </w:r>
      <w:r w:rsidR="00C27B89" w:rsidRPr="000A09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превышать ее рыночную</w:t>
      </w:r>
      <w:r w:rsidR="004756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стоимость</w:t>
      </w:r>
      <w:r w:rsidR="00AD46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756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общество</w:t>
      </w:r>
      <w:r w:rsidR="00C4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 </w:t>
      </w:r>
      <w:r w:rsidR="005B75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отсутстви</w:t>
      </w:r>
      <w:r w:rsidR="00C428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4756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75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волеизъявления</w:t>
      </w:r>
      <w:r w:rsidR="004756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B75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заявителя </w:t>
      </w:r>
      <w:r w:rsidR="00204E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будет </w:t>
      </w:r>
      <w:r w:rsidR="00880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вынуждено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80A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выплатить</w:t>
      </w:r>
      <w:r w:rsidR="008F57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F65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бывшему участнику за долю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средства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размер которых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превыша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</w:t>
      </w:r>
      <w:r w:rsidR="00A679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ее</w:t>
      </w:r>
      <w:r w:rsidR="00CB2CA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рыночную стоимость</w:t>
      </w:r>
      <w:r w:rsidR="006424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5682215" w14:textId="7B499DD5" w:rsidR="0002595C" w:rsidRDefault="003E00FF" w:rsidP="004F4136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Вместе с тем </w:t>
      </w:r>
      <w:r w:rsidRPr="00703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учетом положений законодательства об оценочной деятельности и стандартов оценки и в целом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03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исходя из значения слова «действительный», означающего «реальный» или «истинный», </w:t>
      </w:r>
      <w:r w:rsidR="009F0DFB" w:rsidRPr="00904A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 действительной стоимостью</w:t>
      </w:r>
      <w:r w:rsidR="009F0DFB" w:rsidRPr="00703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доли </w:t>
      </w:r>
      <w:r w:rsidRPr="00703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всегда должна пониматься справедливая стоимость доли, основанная на рыночной оценке бизнеса общества. В этом смысле говорить о какой-то иной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действительный стоимости, тем более зависящей с точки зрения ее размера и методики определения от наличия или отсутствия </w:t>
      </w:r>
      <w:r w:rsidR="00165F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волеизъявления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представляется в корне неверным.</w:t>
      </w:r>
      <w:r w:rsidR="0090572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1717862" w14:textId="2C5E16FB" w:rsidR="00CD1318" w:rsidRDefault="0002595C" w:rsidP="004F4136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764F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3D4E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</w:t>
      </w:r>
      <w:r w:rsidR="00AC37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авило о выплате рыночной стоимости доли при выходе </w:t>
      </w:r>
      <w:r w:rsidR="00C073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или исключении участника из общества </w:t>
      </w:r>
      <w:r w:rsidR="00C073FD" w:rsidRPr="00E9191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должно действовать </w:t>
      </w:r>
      <w:r w:rsidR="001319FD" w:rsidRPr="00E9191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по </w:t>
      </w:r>
      <w:r w:rsidR="001319FD" w:rsidRPr="001319F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умолчанию</w:t>
      </w:r>
      <w:r w:rsidR="00E476C2" w:rsidRPr="00E47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61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возможностью </w:t>
      </w:r>
      <w:r w:rsidR="00E05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отступления</w:t>
      </w:r>
      <w:r w:rsidR="00A61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</w:t>
      </w:r>
      <w:r w:rsidR="002246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этого правила</w:t>
      </w:r>
      <w:r w:rsidR="00A617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05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путем внесения в устав </w:t>
      </w:r>
      <w:r w:rsidR="00AA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единогласному решению участников общества </w:t>
      </w:r>
      <w:r w:rsidR="00E05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условий</w:t>
      </w:r>
      <w:r w:rsidR="004F41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 ином порядке расчета стоимости доли</w:t>
      </w:r>
      <w:r w:rsidR="00AA251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DE52804" w14:textId="30A456D4" w:rsidR="00061AB0" w:rsidRDefault="00764F1C" w:rsidP="00E9191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Важно</w:t>
      </w:r>
      <w:r w:rsidR="003C35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E114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</w:t>
      </w:r>
      <w:r w:rsidR="00201B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E114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048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непубличных </w:t>
      </w:r>
      <w:r w:rsidR="00E114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акционерных обществ</w:t>
      </w:r>
      <w:r w:rsidR="00201B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ах</w:t>
      </w:r>
      <w:r w:rsidR="00D655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осуществлении выкупа обществом акций в соответствии со статьями 75 и 76 Федерального закона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26 декабря 1995 года № 208-ФЗ </w:t>
      </w:r>
      <w:r w:rsid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акционерных обществах» </w:t>
      </w:r>
      <w:r w:rsidR="00C44D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законодателем </w:t>
      </w:r>
      <w:r w:rsidR="00A3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реализуется, </w:t>
      </w:r>
      <w:r w:rsidR="0059714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причем в качестве единственно возможного,</w:t>
      </w:r>
      <w:r w:rsidR="008F22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329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рыночный подход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определению цены акций</w:t>
      </w:r>
      <w:r w:rsid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340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FCFB960" w14:textId="244D1810" w:rsidR="00AB3960" w:rsidRDefault="00E10C5C" w:rsidP="00E9191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Что касается расходов 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оценку</w:t>
      </w:r>
      <w:r w:rsidR="0061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доли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которые по замыслу разработчиков </w:t>
      </w:r>
      <w:r w:rsidR="00764F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E77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возлагаются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исключительно 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заявителя, претендующего </w:t>
      </w:r>
      <w:r w:rsidR="00E77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выплату 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рыночн</w:t>
      </w:r>
      <w:r w:rsidR="00E77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ой </w:t>
      </w:r>
      <w:r w:rsidR="00AB39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стоимост</w:t>
      </w:r>
      <w:r w:rsidR="00E77F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764F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доли</w:t>
      </w:r>
      <w:r w:rsidR="0061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E5A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90D0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также </w:t>
      </w:r>
      <w:r w:rsidR="008E5A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закрепл</w:t>
      </w:r>
      <w:r w:rsidR="002B03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яемого в этой связи </w:t>
      </w:r>
      <w:r w:rsidR="008E5A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="00230F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ромоздк</w:t>
      </w:r>
      <w:r w:rsidR="00D54C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ого </w:t>
      </w:r>
      <w:r w:rsidR="00230F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процедурн</w:t>
      </w:r>
      <w:r w:rsidR="009C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230F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механизм</w:t>
      </w:r>
      <w:r w:rsidR="009C72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организации </w:t>
      </w:r>
      <w:r w:rsidR="006103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такой </w:t>
      </w:r>
      <w:r w:rsidR="00E806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оценки, </w:t>
      </w:r>
      <w:r w:rsidR="00D26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111E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олее разумным</w:t>
      </w:r>
      <w:r w:rsidR="00C93B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отвечающим </w:t>
      </w:r>
      <w:r w:rsidR="008867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декларируемой в пояснительной записке </w:t>
      </w:r>
      <w:r w:rsidR="00C93B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иде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C93B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усиления диспозитивности</w:t>
      </w:r>
      <w:r w:rsidR="00111E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117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будет </w:t>
      </w:r>
      <w:r w:rsidR="00D26F3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</w:t>
      </w:r>
      <w:r w:rsidR="009D4F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ление</w:t>
      </w:r>
      <w:r w:rsidR="00A12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A0B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участникам</w:t>
      </w:r>
      <w:r w:rsidR="00A12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 </w:t>
      </w:r>
      <w:r w:rsidR="003F50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возможност</w:t>
      </w:r>
      <w:r w:rsidR="009D4F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3F50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12B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самостоятельно </w:t>
      </w:r>
      <w:r w:rsidR="005A45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урегулировать </w:t>
      </w:r>
      <w:r w:rsidR="00EA0B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уровне устава</w:t>
      </w:r>
      <w:r w:rsidR="006759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вопрос о том</w:t>
      </w:r>
      <w:r w:rsidR="005B2A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6759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F66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кого </w:t>
      </w:r>
      <w:r w:rsidR="00764F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возлагаются</w:t>
      </w:r>
      <w:r w:rsidR="00002B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таки</w:t>
      </w:r>
      <w:r w:rsidR="001328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6759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расход</w:t>
      </w:r>
      <w:r w:rsidR="005546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 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как они распределяются </w:t>
      </w:r>
      <w:r w:rsidR="005546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между</w:t>
      </w:r>
      <w:r w:rsidR="00002B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участником и обществом.</w:t>
      </w:r>
    </w:p>
    <w:p w14:paraId="53C22F11" w14:textId="65204F19" w:rsidR="00F804CF" w:rsidRDefault="009F6E9D" w:rsidP="00530E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530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3E00FF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B35A50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D6D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A268EF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роект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вводит</w:t>
      </w:r>
      <w:r w:rsidR="00B35A50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диспозитивн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B35A50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норм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B35A50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AD53F2" w:rsidRPr="003320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предоставляющ</w:t>
      </w:r>
      <w:r w:rsidR="009F0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B35A50" w:rsidRPr="00B35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возможность </w:t>
      </w:r>
      <w:r w:rsidR="00343582" w:rsidRPr="00343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закрепления в уставе </w:t>
      </w:r>
      <w:r w:rsidR="005E26E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единогласному решению участников </w:t>
      </w:r>
      <w:r w:rsidR="00343582" w:rsidRPr="00343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положений о</w:t>
      </w:r>
      <w:r w:rsidR="008217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порядке </w:t>
      </w:r>
      <w:r w:rsidR="00882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882E48" w:rsidRPr="00343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пределения</w:t>
      </w:r>
      <w:r w:rsidR="00343582" w:rsidRPr="003435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стоимости доли или части доли при выходе участника из общества</w:t>
      </w:r>
      <w:r w:rsidR="00FF26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случае, когда уставом </w:t>
      </w:r>
      <w:r w:rsidR="001F2F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общества</w:t>
      </w:r>
      <w:r w:rsidR="00FF26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F2FF9" w:rsidRPr="001F2F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отчуждение доли или части доли третьим лицам </w:t>
      </w:r>
      <w:r w:rsidR="001F2FF9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запрещено и другие участники общества отказались от их приобретения либо не дали своего согласия на отчуждение</w:t>
      </w:r>
      <w:r w:rsidR="00A268E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A268E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003BCD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 первый пункта 2 статьи 23 Закона об ООО)</w:t>
      </w:r>
      <w:r w:rsidR="001F2FF9" w:rsidRPr="00003B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B9D689B" w14:textId="7C69A60B" w:rsidR="00EC1F5F" w:rsidRPr="00760C4A" w:rsidRDefault="001D56FC" w:rsidP="00E919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Действующие положения Закона об ООО </w:t>
      </w:r>
      <w:r w:rsidR="002C1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императивн</w:t>
      </w:r>
      <w:r w:rsidR="00C25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2C1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A6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733A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принципе</w:t>
      </w:r>
      <w:r w:rsidR="006A6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</w:t>
      </w:r>
      <w:r w:rsidR="002C12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позволяют </w:t>
      </w:r>
      <w:r w:rsidR="00EB3012" w:rsidRPr="00EB30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участникам </w:t>
      </w:r>
      <w:r w:rsidR="00CD7EC0" w:rsidRPr="00EB30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догов</w:t>
      </w:r>
      <w:r w:rsid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ариваться </w:t>
      </w:r>
      <w:r w:rsidR="00CD7EC0" w:rsidRPr="00EB30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</w:t>
      </w:r>
      <w:r w:rsidR="00EB3012" w:rsidRPr="00EB30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ином порядке определения размера или формуле 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расчета </w:t>
      </w:r>
      <w:r w:rsidR="00EB3012" w:rsidRPr="00EB30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стоимости доли при выходе участника из общества</w:t>
      </w:r>
      <w:r w:rsidR="00287924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EC1F5F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неоправданно ограничивает автономию воли участников общества в оценке своих долей.</w:t>
      </w:r>
    </w:p>
    <w:p w14:paraId="295E1067" w14:textId="24FDE29F" w:rsidR="00FB44CA" w:rsidRDefault="00077C69" w:rsidP="00B135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highlight w:val="cyan"/>
          <w:lang w:eastAsia="ru-RU"/>
          <w14:ligatures w14:val="none"/>
        </w:rPr>
      </w:pPr>
      <w:r w:rsidRPr="00E91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устраняет </w:t>
      </w:r>
      <w:r w:rsidR="00AC09B8" w:rsidRPr="00E91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данный недостаток</w:t>
      </w:r>
      <w:r w:rsidRPr="00E91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927E86" w:rsidRPr="00E91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тем самым</w:t>
      </w:r>
      <w:r w:rsidRPr="00E919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D76AA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способств</w:t>
      </w:r>
      <w:r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уя</w:t>
      </w:r>
      <w:r w:rsidR="00934531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F33E6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повышению </w:t>
      </w:r>
      <w:r w:rsidR="00ED76AA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гибкости</w:t>
      </w:r>
      <w:r w:rsidR="00061364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05DC6" w:rsidRPr="00760C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регулирования</w:t>
      </w:r>
      <w:r w:rsidR="00A05D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F50C9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определении выкупной стоимости доли</w:t>
      </w:r>
      <w:r w:rsidR="00927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соб</w:t>
      </w:r>
      <w:r w:rsidR="00645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люд</w:t>
      </w:r>
      <w:r w:rsidR="00927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ению </w:t>
      </w:r>
      <w:r w:rsidR="006453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интересов участников общества</w:t>
      </w:r>
      <w:r w:rsidR="00AC47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9E38C2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A4C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Предлагаем</w:t>
      </w:r>
      <w:r w:rsidR="0024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</w:t>
      </w:r>
      <w:r w:rsidR="003A4C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4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изменения</w:t>
      </w:r>
      <w:r w:rsidR="00B00C06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538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</w:t>
      </w:r>
      <w:r w:rsidR="00E5387F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A3AC8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соответству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="006A3AC8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F735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135B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иностранному опыту, например</w:t>
      </w:r>
      <w:r w:rsid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опыту немецкого права</w:t>
      </w:r>
      <w:r w:rsidR="00A135B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C6C24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отношении выплаты </w:t>
      </w:r>
      <w:r w:rsidR="00A135B5" w:rsidRPr="00CD7E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компенсации</w:t>
      </w:r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действительной стоимости доли</w:t>
      </w:r>
      <w:r w:rsid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организационно-правовой форме</w:t>
      </w:r>
      <w:r w:rsidR="007D1B0D" w:rsidRP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Gesellschaft</w:t>
      </w:r>
      <w:proofErr w:type="spellEnd"/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mit</w:t>
      </w:r>
      <w:proofErr w:type="spellEnd"/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beschränkter</w:t>
      </w:r>
      <w:proofErr w:type="spellEnd"/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Haftung</w:t>
      </w:r>
      <w:proofErr w:type="spellEnd"/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GmbH</w:t>
      </w:r>
      <w:proofErr w:type="spellEnd"/>
      <w:r w:rsidR="007D1B0D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схожей с российским обществом с ограниченной ответственностью, в силу «принципа автономии устава» (</w:t>
      </w:r>
      <w:proofErr w:type="spellStart"/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Satzungsautonomie</w:t>
      </w:r>
      <w:proofErr w:type="spellEnd"/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допускается закрепление в </w:t>
      </w:r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уставе порядка определения цены принудительного выкупа доли участника при его выходе из </w:t>
      </w:r>
      <w:proofErr w:type="spellStart"/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GmbH</w:t>
      </w:r>
      <w:proofErr w:type="spellEnd"/>
      <w:r w:rsidR="00A135B5" w:rsidRPr="00A135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C264E31" w14:textId="2559EE59" w:rsidR="00AC47A9" w:rsidRDefault="00516E46" w:rsidP="00CD7E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Между тем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проектируемые разработчиками 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нормы</w:t>
      </w:r>
      <w:r w:rsidR="001D78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</w:t>
      </w:r>
      <w:r w:rsidR="005048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шен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</w:t>
      </w:r>
      <w:r w:rsidR="005048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недостатков.</w:t>
      </w:r>
    </w:p>
    <w:p w14:paraId="4C1640CE" w14:textId="00D12215" w:rsidR="00FE766F" w:rsidRDefault="00FC7EE1" w:rsidP="00FE766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Так,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не 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допускает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</w:t>
      </w:r>
      <w:r w:rsidR="00881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рыночного подхода и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ление</w:t>
      </w:r>
      <w:r w:rsidR="00881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уровне устава поряд</w:t>
      </w:r>
      <w:r w:rsidR="00881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881F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0E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определения (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расчета</w:t>
      </w:r>
      <w:r w:rsidR="000C0E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FE76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стоимости доли в случае, когда речь идет об исключении участника из общества (пункт 4 статьи 23 Закона об ООО). </w:t>
      </w:r>
    </w:p>
    <w:p w14:paraId="4788690A" w14:textId="21AC73C4" w:rsidR="00770F68" w:rsidRDefault="00FE766F" w:rsidP="00CD7E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753D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рименительно к</w:t>
      </w:r>
      <w:r w:rsidR="005A0C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B172F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</w:t>
      </w:r>
      <w:r w:rsidR="00753D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2F2BA6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</w:t>
      </w:r>
      <w:r w:rsidR="002F2BA6" w:rsidRPr="0067498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1</w:t>
      </w:r>
      <w:r w:rsidR="002F2BA6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</w:t>
      </w:r>
      <w:r w:rsidR="00AB17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атьи </w:t>
      </w:r>
      <w:r w:rsidR="002F2BA6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23 Закона об ООО, </w:t>
      </w:r>
      <w:r w:rsidR="00423164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регулирующе</w:t>
      </w:r>
      <w:r w:rsidR="0042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</w:t>
      </w:r>
      <w:r w:rsidR="00753D6B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F2BA6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</w:t>
      </w:r>
      <w:r w:rsidR="00A378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2F2BA6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действительной стоимости доли </w:t>
      </w:r>
      <w:r w:rsidR="0042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выходе</w:t>
      </w:r>
      <w:r w:rsidR="00423164" w:rsidRPr="002F2B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</w:t>
      </w:r>
      <w:r w:rsidR="0042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</w:t>
      </w:r>
      <w:r w:rsidR="005C26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42640A" w:rsidRPr="004264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соответствии со статьей 26</w:t>
      </w:r>
      <w:r w:rsidR="0042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F77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Закона об ООО</w:t>
      </w:r>
      <w:r w:rsidR="000C09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="005D14F9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когда уставом общества предусмотрен</w:t>
      </w:r>
      <w:r w:rsidR="00FF628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 право</w:t>
      </w:r>
      <w:r w:rsidR="002375EC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выхода </w:t>
      </w:r>
      <w:r w:rsidR="005D14F9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участника из общества независимо от согласия других его участников или </w:t>
      </w:r>
      <w:r w:rsidR="002375EC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самого </w:t>
      </w:r>
      <w:r w:rsidR="005D14F9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общества</w:t>
      </w:r>
      <w:r w:rsidR="000C09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237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C09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</w:t>
      </w:r>
      <w:r w:rsidR="00F411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B34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допускает</w:t>
      </w:r>
      <w:r w:rsidR="000206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E75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установление </w:t>
      </w:r>
      <w:r w:rsidR="00753D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уровне устава </w:t>
      </w:r>
      <w:r w:rsidR="00753D6B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порядка определения выплаты </w:t>
      </w:r>
      <w:r w:rsidR="00753D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действительной </w:t>
      </w:r>
      <w:r w:rsidR="004231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доли, но </w:t>
      </w:r>
      <w:r w:rsidR="00BD0A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</w:t>
      </w:r>
      <w:r w:rsidR="008A51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23164" w:rsidRPr="00CD7EC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порядка расчета</w:t>
      </w:r>
      <w:r w:rsidR="000C0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8C6E6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или определения </w:t>
      </w:r>
      <w:r w:rsidR="009B789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самой </w:t>
      </w:r>
      <w:r w:rsidR="000C0E2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стоимости </w:t>
      </w:r>
      <w:r w:rsidR="004E0CB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такой доли</w:t>
      </w:r>
      <w:r w:rsidR="002375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как это предлагается </w:t>
      </w:r>
      <w:r w:rsidR="009702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разработчиками</w:t>
      </w:r>
      <w:r w:rsidR="00F411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Проекта </w:t>
      </w:r>
      <w:r w:rsidR="00D53E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проектируемых изменениях в </w:t>
      </w:r>
      <w:r w:rsidR="00852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852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трет</w:t>
      </w:r>
      <w:r w:rsidR="00081B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ьем</w:t>
      </w:r>
      <w:r w:rsidR="00852F7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пункта 2 статьи 23 Закона об ООО</w:t>
      </w:r>
      <w:r w:rsidR="004705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5A7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когда выход участника из </w:t>
      </w:r>
      <w:r w:rsidR="00C5329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общества</w:t>
      </w:r>
      <w:r w:rsidR="005A7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запрещен </w:t>
      </w:r>
      <w:r w:rsidR="007025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уставом </w:t>
      </w:r>
      <w:r w:rsidR="005A71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C233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абзац первый пункта 2 статьи 23 Закона об ООО).</w:t>
      </w:r>
      <w:r w:rsidR="00A565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Между тем </w:t>
      </w:r>
      <w:r w:rsidR="00E932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пояснительной </w:t>
      </w:r>
      <w:r w:rsidR="00B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записке </w:t>
      </w:r>
      <w:r w:rsidR="007D1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упоминается </w:t>
      </w:r>
      <w:r w:rsidR="00D63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 w:rsidR="00B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закреплении подобной опции для </w:t>
      </w:r>
      <w:r w:rsidR="00E66C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всех</w:t>
      </w:r>
      <w:r w:rsidR="00BF5E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случаев выхода участника</w:t>
      </w:r>
      <w:r w:rsidR="00D638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 общества</w:t>
      </w:r>
      <w:r w:rsidR="00403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8590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более того</w:t>
      </w:r>
      <w:r w:rsidR="00CA0F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072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 предусмотрено и 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проектируемом</w:t>
      </w:r>
      <w:r w:rsidR="007E1A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459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0459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677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072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80721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23 Закона об ООО</w:t>
      </w:r>
      <w:r w:rsidR="00C569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E677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7B430FA" w14:textId="48BBBF1D" w:rsidR="00B35A50" w:rsidRDefault="007D1B0D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учетом как доктринальных предпосылок, выводимых их принципа частной автономии, так</w:t>
      </w:r>
      <w:r w:rsidR="00C040AC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практических соображений следует предоставить участникам право закреплять в уставе условия о выплате участнику определенной стоимости доли или о порядке ее расчета</w:t>
      </w:r>
      <w:r w:rsidR="00B878A7" w:rsidRPr="00B878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B69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любых случаев перехода доли</w:t>
      </w:r>
      <w:r w:rsidR="00643E1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участника</w:t>
      </w:r>
      <w:r w:rsidR="00AB69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обществу, </w:t>
      </w:r>
      <w:r w:rsidR="008927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том числе при и</w:t>
      </w:r>
      <w:r w:rsidR="00A67D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сключени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A67D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</w:t>
      </w:r>
      <w:r w:rsidR="009510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из общества.</w:t>
      </w:r>
    </w:p>
    <w:p w14:paraId="640C1D7E" w14:textId="7D8EACEC" w:rsidR="003E00FF" w:rsidRPr="003E00FF" w:rsidRDefault="009B0252" w:rsidP="00AC29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Давно назрела </w:t>
      </w:r>
      <w:r w:rsidR="00E242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требует р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ешения </w:t>
      </w:r>
      <w:r w:rsidR="00B6640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проблем</w:t>
      </w:r>
      <w:r w:rsidR="00E242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B664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9614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обеспечения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гарантий выплаты </w:t>
      </w:r>
      <w:r w:rsidR="009D7A6C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</w:t>
      </w:r>
      <w:r w:rsidR="009D7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шедшему</w:t>
      </w:r>
      <w:r w:rsidR="00D30F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или </w:t>
      </w:r>
      <w:r w:rsidR="00D937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исключенному</w:t>
      </w:r>
      <w:r w:rsidR="009D7A6C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 общества участнику действительной стоимости его доли. Действующее регулирование не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предоставляет надлежащих гарантий таким лицам, поскольку выплата действительной стоимости доли осуществляется обществом в течение трех месяцев с момента возникновения соответствующей обязанности, то есть уже после перехода доли или части доли к обществу (пункт 6</w:t>
      </w:r>
      <w:r w:rsidR="003E00FF" w:rsidRPr="0067498F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1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статьи 23 Закона об ООО)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Данный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срок может быть увеличен до года (пункт 8 статьи 23 Закона об ООО). Это создает благоприятную почву для недобросовестных действий со стороны менеджмента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том числе для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выведени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имеющих существенное значение для деятельности компании активов, занижени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их стоимости для последующего снижения </w:t>
      </w:r>
      <w:r w:rsidR="008B09F2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выплат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B09F2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причитающихся для вышедших из общества участников. </w:t>
      </w:r>
    </w:p>
    <w:p w14:paraId="3FD45ED6" w14:textId="1EA59A37" w:rsidR="003E00FF" w:rsidRPr="003E00FF" w:rsidRDefault="003E00FF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Решением указанной проблемы должно стать формирование сбалансированного механизма, обеспечивающего интересы выходящего из общества и остающихся в нем участников. Например, может быть рассмотрена идея 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обязательной </w:t>
      </w:r>
      <w:r w:rsidR="00625AC1" w:rsidRPr="003E00F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выплаты действительной стоимости доли выходящему участнику </w:t>
      </w:r>
      <w:r w:rsidR="00625AC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до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подачи нотариусом заявления в регистрирующий орган 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либо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депонирование 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этой доли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нотариус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</w:t>
      </w:r>
      <w:proofErr w:type="spellStart"/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эскроу</w:t>
      </w:r>
      <w:proofErr w:type="spellEnd"/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-агент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Совет ранее высказывался по этому поводу при рассмотрении законодательных инициатив Минэкономразвития России, направленных на совершенствование процедуры внесения в 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диный государственны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реестр юридических лиц сведений о выходе участника из общества (экспертные заключения от 20 июня 2019 г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189-5/2019, от 23 июля 2020 г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="008B09F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200/оп-6/2020). Замечания Совета не утратили своей актуальности и требуют учета при доработке соответствующих изменений в Закон об ООО.</w:t>
      </w:r>
    </w:p>
    <w:p w14:paraId="72669696" w14:textId="0AA4968D" w:rsidR="008B09F2" w:rsidRDefault="003E00FF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Нуждается в дополнительном обсуждении </w:t>
      </w:r>
      <w:r w:rsidR="00832D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связанный с </w:t>
      </w:r>
      <w:r w:rsidR="000079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рассматриваемой 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сферой отношений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вопрос 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</w:t>
      </w:r>
      <w:r w:rsidR="00625A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минимальных гарантий </w:t>
      </w:r>
      <w:r w:rsidR="00280E5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исключенному из общества участнику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ситуации, когда общество не вправе в соответствии с законодательными требованиями выплачивать стоимость его доли в связи с угрозой </w:t>
      </w:r>
      <w:r w:rsidR="009519E5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банкротств</w:t>
      </w:r>
      <w:r w:rsidR="009519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В такой ситуации добровольно вышедш</w:t>
      </w:r>
      <w:r w:rsidR="00AA76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 из состава участников лицо имеет возможность восстановить свой статус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участника, подав соответствующее заявление (абзац пятый пункта 8 статьи 23 Закона об ООО). </w:t>
      </w:r>
    </w:p>
    <w:p w14:paraId="51471F71" w14:textId="1D17ABC5" w:rsidR="003E00FF" w:rsidRPr="003E00FF" w:rsidRDefault="008B09F2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ля исключенного из общества участника должна существовать возможность обратиться с требованием о возбуждении дела о банкротстве или 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ликвидации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</w:t>
      </w:r>
      <w:r w:rsidR="003E00FF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если общество не выплачивает ему стоимость доли в установленный законом срок. </w:t>
      </w:r>
    </w:p>
    <w:p w14:paraId="308E1AE0" w14:textId="301CC152" w:rsidR="003E00FF" w:rsidRPr="003E00FF" w:rsidRDefault="003E00FF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Действующее законодательство, как и сложившаяся судебная практика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такой возможности </w:t>
      </w:r>
      <w:r w:rsidR="009B48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исключенному из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общества</w:t>
      </w:r>
      <w:r w:rsidR="009B48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участнику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предоставляют,</w:t>
      </w:r>
      <w:r w:rsidRPr="003E00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исключая кредиторов по требованиям о выплате действительной стоимости доли из числа конкурсных кредиторов (статья 2 Федерального закона 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26 октября 2002 года № 127-ФЗ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 несостоятельности (банкротстве)»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Указанные требования квалифицируются как корпоративные и не могут конкурировать с требованиями других кредиторов. На такую квалификацию не способны повлиять никакие обстоятельства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 то, как давно и в каких условиях были прекращены корпоративные отношения и возникли требования о выплате действительной стоимости доли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 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наличие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судебно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ее взыскании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ни то,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когда и при каких обстоятельствах лицо обращалось в суд с требованием о взыскании. В данном</w:t>
      </w:r>
      <w:r w:rsidR="009F74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отношении также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представляет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интерес опыт </w:t>
      </w:r>
      <w:r w:rsidR="00186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права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Германии, где при отсутствии возможности осуществить выплату </w:t>
      </w:r>
      <w:r w:rsidR="00186E86"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исключенному участнику 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полной стоимости доли альтернативой является ликвидация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6A9E1A2" w14:textId="5A31255A" w:rsidR="003E00FF" w:rsidRDefault="003E00FF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любом случае до тех пор, пока вышедшему или исключенному участнику не будет выплачена стоимость его доли, 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должны располагать возможностью получ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ать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информаци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деятельности общества </w:t>
      </w:r>
      <w:r w:rsidR="00186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наличии разумной деловой цели</w:t>
      </w:r>
      <w:r w:rsidR="00186E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также оспарива</w:t>
      </w:r>
      <w:r w:rsidR="00903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решени</w:t>
      </w:r>
      <w:r w:rsidR="00903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сдел</w:t>
      </w:r>
      <w:r w:rsidR="00903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совершенны</w:t>
      </w:r>
      <w:r w:rsidR="009032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ущерб интересам общества, 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требовать в судебном порядке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взыскания убытк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ов, причиненных обществу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член</w:t>
      </w:r>
      <w:r w:rsidR="00D12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ами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органов управления</w:t>
      </w:r>
      <w:r w:rsidR="005E441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общества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6D50270" w14:textId="77777777" w:rsidR="007A44BD" w:rsidRDefault="007A44BD" w:rsidP="003E00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AF67D4" w14:textId="04AEDC6C" w:rsidR="00E20ED6" w:rsidRDefault="00E20ED6" w:rsidP="00BD23A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х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proofErr w:type="spellEnd"/>
    </w:p>
    <w:p w14:paraId="64CB8510" w14:textId="77777777" w:rsidR="007A44BD" w:rsidRPr="003E00FF" w:rsidRDefault="007A44BD" w:rsidP="00E20ED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GoBack"/>
      <w:bookmarkEnd w:id="1"/>
    </w:p>
    <w:p w14:paraId="673D01A3" w14:textId="28C7E17E" w:rsidR="003E00FF" w:rsidRDefault="003E00FF" w:rsidP="003E0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2" w:name="_Hlk170320128"/>
      <w:r w:rsidRPr="003E00FF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ru-RU"/>
          <w14:ligatures w14:val="none"/>
        </w:rPr>
        <w:lastRenderedPageBreak/>
        <w:t>Вывод</w:t>
      </w:r>
      <w:r w:rsidRPr="003E00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:</w:t>
      </w:r>
      <w:r w:rsidRPr="003E00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проект федеральн</w:t>
      </w:r>
      <w:r w:rsidR="00BA50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ого закона </w:t>
      </w:r>
      <w:r w:rsidRPr="003E00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«О внесении изменений в Федеральный закон «Об обществах с ограниченной ответственностью» не мо</w:t>
      </w:r>
      <w:r w:rsidR="0097631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жет</w:t>
      </w:r>
      <w:r w:rsidRPr="003E00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быть поддержан.</w:t>
      </w:r>
    </w:p>
    <w:p w14:paraId="1722607D" w14:textId="3BF3C6B6" w:rsidR="006B013C" w:rsidRDefault="006B013C" w:rsidP="003E0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21AF6CE" w14:textId="77777777" w:rsidR="006B013C" w:rsidRPr="003E00FF" w:rsidRDefault="006B013C" w:rsidP="003E0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4782"/>
        <w:gridCol w:w="4999"/>
      </w:tblGrid>
      <w:tr w:rsidR="006B013C" w:rsidRPr="006B013C" w14:paraId="3757254C" w14:textId="77777777" w:rsidTr="006B013C">
        <w:tc>
          <w:tcPr>
            <w:tcW w:w="4782" w:type="dxa"/>
            <w:hideMark/>
          </w:tcPr>
          <w:bookmarkEnd w:id="2"/>
          <w:p w14:paraId="6B353B3D" w14:textId="77777777" w:rsidR="006B013C" w:rsidRPr="006B013C" w:rsidRDefault="006B013C" w:rsidP="006B013C">
            <w:pPr>
              <w:suppressAutoHyphens/>
              <w:spacing w:after="0" w:line="360" w:lineRule="auto"/>
              <w:ind w:left="31" w:right="-7" w:firstLine="7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B01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Председатель Совета</w:t>
            </w:r>
          </w:p>
        </w:tc>
        <w:tc>
          <w:tcPr>
            <w:tcW w:w="4999" w:type="dxa"/>
            <w:hideMark/>
          </w:tcPr>
          <w:p w14:paraId="742E82A7" w14:textId="77777777" w:rsidR="006B013C" w:rsidRPr="006B013C" w:rsidRDefault="006B013C" w:rsidP="006B013C">
            <w:pPr>
              <w:suppressAutoHyphens/>
              <w:spacing w:after="0" w:line="360" w:lineRule="auto"/>
              <w:ind w:left="31" w:right="-7" w:firstLine="7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B013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П.В. Крашенинников</w:t>
            </w:r>
          </w:p>
        </w:tc>
      </w:tr>
    </w:tbl>
    <w:p w14:paraId="2A74AC5F" w14:textId="77777777" w:rsidR="003E00FF" w:rsidRPr="003E00FF" w:rsidRDefault="003E00FF" w:rsidP="003E00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3E00FF" w:rsidRPr="003E00FF" w:rsidSect="00CD7EC0">
      <w:headerReference w:type="default" r:id="rId7"/>
      <w:footerReference w:type="default" r:id="rId8"/>
      <w:pgSz w:w="11906" w:h="16838"/>
      <w:pgMar w:top="993" w:right="850" w:bottom="851" w:left="1560" w:header="56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6F30B0" w16cid:durableId="2A38E2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E71A4" w14:textId="77777777" w:rsidR="003F7A90" w:rsidRDefault="003F7A90" w:rsidP="00F375EB">
      <w:pPr>
        <w:spacing w:after="0" w:line="240" w:lineRule="auto"/>
      </w:pPr>
      <w:r>
        <w:separator/>
      </w:r>
    </w:p>
  </w:endnote>
  <w:endnote w:type="continuationSeparator" w:id="0">
    <w:p w14:paraId="32791E22" w14:textId="77777777" w:rsidR="003F7A90" w:rsidRDefault="003F7A90" w:rsidP="00F3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EB87C" w14:textId="77777777" w:rsidR="00F375EB" w:rsidRDefault="00F375EB" w:rsidP="00C858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75A69" w14:textId="77777777" w:rsidR="003F7A90" w:rsidRDefault="003F7A90" w:rsidP="00F375EB">
      <w:pPr>
        <w:spacing w:after="0" w:line="240" w:lineRule="auto"/>
      </w:pPr>
      <w:r>
        <w:separator/>
      </w:r>
    </w:p>
  </w:footnote>
  <w:footnote w:type="continuationSeparator" w:id="0">
    <w:p w14:paraId="4DC74008" w14:textId="77777777" w:rsidR="003F7A90" w:rsidRDefault="003F7A90" w:rsidP="00F375EB">
      <w:pPr>
        <w:spacing w:after="0" w:line="240" w:lineRule="auto"/>
      </w:pPr>
      <w:r>
        <w:continuationSeparator/>
      </w:r>
    </w:p>
  </w:footnote>
  <w:footnote w:id="1">
    <w:p w14:paraId="465AC8D5" w14:textId="6A9B0405" w:rsidR="000A096D" w:rsidRDefault="000A096D" w:rsidP="000A096D">
      <w:pPr>
        <w:pStyle w:val="a8"/>
        <w:ind w:firstLine="567"/>
        <w:jc w:val="both"/>
      </w:pPr>
      <w:r>
        <w:rPr>
          <w:rStyle w:val="aa"/>
        </w:rPr>
        <w:footnoteRef/>
      </w:r>
      <w: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Постановление Пленума В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ерховного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уда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оссийской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Ф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едерации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и Пленума В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ысшего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рбитражного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уда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оссийской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Ф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едерации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от 9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декабря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1999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№ 90/14,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п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остановление Президиума В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ысшего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рбитражного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уда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оссийской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Ф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едерации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от 6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сентября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2005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 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5261/05 по делу № А50-10328/2004-Г25, определения В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ысшего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рбитражного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С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уда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Р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оссийской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Ф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едерации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от 5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февраля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2014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 ВАС-829/14 по делу № А56-12276/2012, от 23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мая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2013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 ВАС-5988/13 по делу № А40-21519/12-57-200, от 22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марта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2012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 ВАС-2894/12 по делу № А63-4333/2009, от 27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ноября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2012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 ВАС-15585/12 по делу № А65-25300/2009, от 6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мая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2013 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г</w:t>
      </w:r>
      <w:r w:rsidR="006D683B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ода</w:t>
      </w:r>
      <w:r w:rsidR="00622BD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0A096D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  <w:t>№ ВАС-5228/13 по делу № А54-329/2010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7722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7C7BED5" w14:textId="04BD61F5" w:rsidR="00F375EB" w:rsidRPr="00C858C6" w:rsidRDefault="00F375EB">
        <w:pPr>
          <w:pStyle w:val="a3"/>
          <w:jc w:val="center"/>
          <w:rPr>
            <w:sz w:val="28"/>
            <w:szCs w:val="28"/>
          </w:rPr>
        </w:pPr>
        <w:r w:rsidRPr="00C858C6">
          <w:rPr>
            <w:sz w:val="28"/>
            <w:szCs w:val="28"/>
          </w:rPr>
          <w:fldChar w:fldCharType="begin"/>
        </w:r>
        <w:r w:rsidRPr="00C858C6">
          <w:rPr>
            <w:sz w:val="28"/>
            <w:szCs w:val="28"/>
          </w:rPr>
          <w:instrText>PAGE   \* MERGEFORMAT</w:instrText>
        </w:r>
        <w:r w:rsidRPr="00C858C6">
          <w:rPr>
            <w:sz w:val="28"/>
            <w:szCs w:val="28"/>
          </w:rPr>
          <w:fldChar w:fldCharType="separate"/>
        </w:r>
        <w:r w:rsidR="00BD23A5">
          <w:rPr>
            <w:noProof/>
            <w:sz w:val="28"/>
            <w:szCs w:val="28"/>
          </w:rPr>
          <w:t>8</w:t>
        </w:r>
        <w:r w:rsidRPr="00C858C6">
          <w:rPr>
            <w:sz w:val="28"/>
            <w:szCs w:val="28"/>
          </w:rPr>
          <w:fldChar w:fldCharType="end"/>
        </w:r>
      </w:p>
    </w:sdtContent>
  </w:sdt>
  <w:p w14:paraId="24F0CEE4" w14:textId="77777777" w:rsidR="00F375EB" w:rsidRDefault="00F37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FF"/>
    <w:rsid w:val="00002B42"/>
    <w:rsid w:val="00003BCD"/>
    <w:rsid w:val="00003DE3"/>
    <w:rsid w:val="0000797D"/>
    <w:rsid w:val="00007BEA"/>
    <w:rsid w:val="0001179B"/>
    <w:rsid w:val="000206C7"/>
    <w:rsid w:val="0002595C"/>
    <w:rsid w:val="00025EFD"/>
    <w:rsid w:val="00034F86"/>
    <w:rsid w:val="0004591F"/>
    <w:rsid w:val="000563D7"/>
    <w:rsid w:val="00060EDD"/>
    <w:rsid w:val="00061364"/>
    <w:rsid w:val="00061AB0"/>
    <w:rsid w:val="00064347"/>
    <w:rsid w:val="000649D2"/>
    <w:rsid w:val="00073D22"/>
    <w:rsid w:val="00077C69"/>
    <w:rsid w:val="00081BB9"/>
    <w:rsid w:val="00084CBD"/>
    <w:rsid w:val="00085265"/>
    <w:rsid w:val="00091296"/>
    <w:rsid w:val="000915ED"/>
    <w:rsid w:val="00092BF4"/>
    <w:rsid w:val="00092E01"/>
    <w:rsid w:val="000949CC"/>
    <w:rsid w:val="00096353"/>
    <w:rsid w:val="00097CC9"/>
    <w:rsid w:val="000A096D"/>
    <w:rsid w:val="000A3893"/>
    <w:rsid w:val="000A41D9"/>
    <w:rsid w:val="000B3456"/>
    <w:rsid w:val="000B53D5"/>
    <w:rsid w:val="000C0996"/>
    <w:rsid w:val="000C0E2E"/>
    <w:rsid w:val="000C14E2"/>
    <w:rsid w:val="000D3DE9"/>
    <w:rsid w:val="000D7430"/>
    <w:rsid w:val="000E2389"/>
    <w:rsid w:val="000E3498"/>
    <w:rsid w:val="000E3EA0"/>
    <w:rsid w:val="000E59C6"/>
    <w:rsid w:val="000E6110"/>
    <w:rsid w:val="000E7F45"/>
    <w:rsid w:val="000F063F"/>
    <w:rsid w:val="000F50C9"/>
    <w:rsid w:val="000F6622"/>
    <w:rsid w:val="000F7E5B"/>
    <w:rsid w:val="0010736D"/>
    <w:rsid w:val="0011002A"/>
    <w:rsid w:val="00111E4D"/>
    <w:rsid w:val="00112168"/>
    <w:rsid w:val="00115EB5"/>
    <w:rsid w:val="00116013"/>
    <w:rsid w:val="00120C78"/>
    <w:rsid w:val="00121B62"/>
    <w:rsid w:val="00121BE1"/>
    <w:rsid w:val="001319FD"/>
    <w:rsid w:val="00132870"/>
    <w:rsid w:val="00134415"/>
    <w:rsid w:val="0013499E"/>
    <w:rsid w:val="00144182"/>
    <w:rsid w:val="00150A79"/>
    <w:rsid w:val="00150D8A"/>
    <w:rsid w:val="00151BA1"/>
    <w:rsid w:val="001536BE"/>
    <w:rsid w:val="00153B16"/>
    <w:rsid w:val="001651B1"/>
    <w:rsid w:val="00165B77"/>
    <w:rsid w:val="00165EEC"/>
    <w:rsid w:val="00165F86"/>
    <w:rsid w:val="0016674B"/>
    <w:rsid w:val="00166AA3"/>
    <w:rsid w:val="0016785F"/>
    <w:rsid w:val="00170873"/>
    <w:rsid w:val="001708F0"/>
    <w:rsid w:val="001730DC"/>
    <w:rsid w:val="00181DBB"/>
    <w:rsid w:val="00186E86"/>
    <w:rsid w:val="001906BC"/>
    <w:rsid w:val="001945EF"/>
    <w:rsid w:val="00194618"/>
    <w:rsid w:val="001959DC"/>
    <w:rsid w:val="001A7132"/>
    <w:rsid w:val="001A7288"/>
    <w:rsid w:val="001B394B"/>
    <w:rsid w:val="001B4D17"/>
    <w:rsid w:val="001C2F18"/>
    <w:rsid w:val="001C3F63"/>
    <w:rsid w:val="001C7251"/>
    <w:rsid w:val="001C7722"/>
    <w:rsid w:val="001D2AB9"/>
    <w:rsid w:val="001D3618"/>
    <w:rsid w:val="001D56FC"/>
    <w:rsid w:val="001D78AF"/>
    <w:rsid w:val="001E1DA3"/>
    <w:rsid w:val="001F1CF6"/>
    <w:rsid w:val="001F2EDE"/>
    <w:rsid w:val="001F2FF9"/>
    <w:rsid w:val="001F36C7"/>
    <w:rsid w:val="001F3EE2"/>
    <w:rsid w:val="001F3FBB"/>
    <w:rsid w:val="001F4119"/>
    <w:rsid w:val="00201BA3"/>
    <w:rsid w:val="00204DC4"/>
    <w:rsid w:val="00204E46"/>
    <w:rsid w:val="002110FB"/>
    <w:rsid w:val="00214F34"/>
    <w:rsid w:val="00215169"/>
    <w:rsid w:val="002209FF"/>
    <w:rsid w:val="002246FA"/>
    <w:rsid w:val="00230F4D"/>
    <w:rsid w:val="00235639"/>
    <w:rsid w:val="00236D9F"/>
    <w:rsid w:val="002375EC"/>
    <w:rsid w:val="002422B8"/>
    <w:rsid w:val="002442F6"/>
    <w:rsid w:val="002446E8"/>
    <w:rsid w:val="00244A63"/>
    <w:rsid w:val="00246461"/>
    <w:rsid w:val="00247637"/>
    <w:rsid w:val="00254393"/>
    <w:rsid w:val="002572A0"/>
    <w:rsid w:val="00261E23"/>
    <w:rsid w:val="00270AE0"/>
    <w:rsid w:val="002733C8"/>
    <w:rsid w:val="00274C75"/>
    <w:rsid w:val="002773CC"/>
    <w:rsid w:val="00277584"/>
    <w:rsid w:val="00280E5F"/>
    <w:rsid w:val="00286F97"/>
    <w:rsid w:val="002878DA"/>
    <w:rsid w:val="00287924"/>
    <w:rsid w:val="0029351F"/>
    <w:rsid w:val="00293FBD"/>
    <w:rsid w:val="00294558"/>
    <w:rsid w:val="0029764A"/>
    <w:rsid w:val="002A2CE0"/>
    <w:rsid w:val="002A7D95"/>
    <w:rsid w:val="002B0381"/>
    <w:rsid w:val="002C1275"/>
    <w:rsid w:val="002C2D00"/>
    <w:rsid w:val="002C6C35"/>
    <w:rsid w:val="002D6DF5"/>
    <w:rsid w:val="002E02A9"/>
    <w:rsid w:val="002F0CF9"/>
    <w:rsid w:val="002F248D"/>
    <w:rsid w:val="002F2BA6"/>
    <w:rsid w:val="002F55D0"/>
    <w:rsid w:val="0030068D"/>
    <w:rsid w:val="00302F2A"/>
    <w:rsid w:val="00306E26"/>
    <w:rsid w:val="00316E74"/>
    <w:rsid w:val="00317C34"/>
    <w:rsid w:val="00324876"/>
    <w:rsid w:val="00330A6C"/>
    <w:rsid w:val="003320B6"/>
    <w:rsid w:val="003335DC"/>
    <w:rsid w:val="00333E01"/>
    <w:rsid w:val="003371AC"/>
    <w:rsid w:val="00337ED4"/>
    <w:rsid w:val="00343582"/>
    <w:rsid w:val="00343BB3"/>
    <w:rsid w:val="00345D84"/>
    <w:rsid w:val="003507F0"/>
    <w:rsid w:val="003621A3"/>
    <w:rsid w:val="00362254"/>
    <w:rsid w:val="003643C0"/>
    <w:rsid w:val="003643F3"/>
    <w:rsid w:val="00366E5C"/>
    <w:rsid w:val="0036752C"/>
    <w:rsid w:val="00372092"/>
    <w:rsid w:val="00374977"/>
    <w:rsid w:val="00377353"/>
    <w:rsid w:val="00377C3D"/>
    <w:rsid w:val="00381206"/>
    <w:rsid w:val="003971C8"/>
    <w:rsid w:val="003978D1"/>
    <w:rsid w:val="00397F8D"/>
    <w:rsid w:val="003A1A86"/>
    <w:rsid w:val="003A4CD2"/>
    <w:rsid w:val="003B0457"/>
    <w:rsid w:val="003B1890"/>
    <w:rsid w:val="003B4248"/>
    <w:rsid w:val="003B6C47"/>
    <w:rsid w:val="003C0AC1"/>
    <w:rsid w:val="003C35D7"/>
    <w:rsid w:val="003D3A47"/>
    <w:rsid w:val="003D4E85"/>
    <w:rsid w:val="003D5EA7"/>
    <w:rsid w:val="003E00FF"/>
    <w:rsid w:val="003E536B"/>
    <w:rsid w:val="003E5E34"/>
    <w:rsid w:val="003F1AC9"/>
    <w:rsid w:val="003F4B4E"/>
    <w:rsid w:val="003F50BB"/>
    <w:rsid w:val="003F7A90"/>
    <w:rsid w:val="00403B32"/>
    <w:rsid w:val="0040619C"/>
    <w:rsid w:val="00406A72"/>
    <w:rsid w:val="00406DE3"/>
    <w:rsid w:val="00407CC3"/>
    <w:rsid w:val="0041025F"/>
    <w:rsid w:val="004116B5"/>
    <w:rsid w:val="0041426C"/>
    <w:rsid w:val="00416556"/>
    <w:rsid w:val="00420F7A"/>
    <w:rsid w:val="00421F58"/>
    <w:rsid w:val="00423164"/>
    <w:rsid w:val="00423D75"/>
    <w:rsid w:val="004258C1"/>
    <w:rsid w:val="00425F69"/>
    <w:rsid w:val="0042640A"/>
    <w:rsid w:val="00430C4B"/>
    <w:rsid w:val="00432F27"/>
    <w:rsid w:val="004340D7"/>
    <w:rsid w:val="004355AD"/>
    <w:rsid w:val="00452CB9"/>
    <w:rsid w:val="00455562"/>
    <w:rsid w:val="00462109"/>
    <w:rsid w:val="004705E8"/>
    <w:rsid w:val="00471230"/>
    <w:rsid w:val="004713BA"/>
    <w:rsid w:val="0047568A"/>
    <w:rsid w:val="00476142"/>
    <w:rsid w:val="004763EB"/>
    <w:rsid w:val="004850B0"/>
    <w:rsid w:val="00485903"/>
    <w:rsid w:val="004933DC"/>
    <w:rsid w:val="00493C76"/>
    <w:rsid w:val="004972C3"/>
    <w:rsid w:val="004A7EC5"/>
    <w:rsid w:val="004C032D"/>
    <w:rsid w:val="004C1548"/>
    <w:rsid w:val="004C1931"/>
    <w:rsid w:val="004C5A73"/>
    <w:rsid w:val="004C6C24"/>
    <w:rsid w:val="004D3ED4"/>
    <w:rsid w:val="004E0CB3"/>
    <w:rsid w:val="004E1EB0"/>
    <w:rsid w:val="004E20C4"/>
    <w:rsid w:val="004E51C7"/>
    <w:rsid w:val="004E5884"/>
    <w:rsid w:val="004E64C2"/>
    <w:rsid w:val="004F1664"/>
    <w:rsid w:val="004F29AD"/>
    <w:rsid w:val="004F4136"/>
    <w:rsid w:val="004F5FA1"/>
    <w:rsid w:val="00503523"/>
    <w:rsid w:val="005048FD"/>
    <w:rsid w:val="00504944"/>
    <w:rsid w:val="00512143"/>
    <w:rsid w:val="00516E46"/>
    <w:rsid w:val="00524C49"/>
    <w:rsid w:val="00530865"/>
    <w:rsid w:val="00530E48"/>
    <w:rsid w:val="0054000E"/>
    <w:rsid w:val="00541A40"/>
    <w:rsid w:val="00545632"/>
    <w:rsid w:val="005474C0"/>
    <w:rsid w:val="005504FB"/>
    <w:rsid w:val="00554642"/>
    <w:rsid w:val="00557073"/>
    <w:rsid w:val="00557B3B"/>
    <w:rsid w:val="00557C07"/>
    <w:rsid w:val="00560668"/>
    <w:rsid w:val="005669B1"/>
    <w:rsid w:val="0057169A"/>
    <w:rsid w:val="00572C55"/>
    <w:rsid w:val="00573A9B"/>
    <w:rsid w:val="00577FB4"/>
    <w:rsid w:val="005806AD"/>
    <w:rsid w:val="00580812"/>
    <w:rsid w:val="0058212C"/>
    <w:rsid w:val="005828C4"/>
    <w:rsid w:val="00583BDD"/>
    <w:rsid w:val="00586B18"/>
    <w:rsid w:val="00590D06"/>
    <w:rsid w:val="0059140A"/>
    <w:rsid w:val="00596DF0"/>
    <w:rsid w:val="00597144"/>
    <w:rsid w:val="005A0C75"/>
    <w:rsid w:val="005A0D77"/>
    <w:rsid w:val="005A26A2"/>
    <w:rsid w:val="005A45B7"/>
    <w:rsid w:val="005A5A0C"/>
    <w:rsid w:val="005A714F"/>
    <w:rsid w:val="005B1054"/>
    <w:rsid w:val="005B201F"/>
    <w:rsid w:val="005B2A0F"/>
    <w:rsid w:val="005B6ABD"/>
    <w:rsid w:val="005B7518"/>
    <w:rsid w:val="005B7D3D"/>
    <w:rsid w:val="005C26F3"/>
    <w:rsid w:val="005C397C"/>
    <w:rsid w:val="005D14F9"/>
    <w:rsid w:val="005D318F"/>
    <w:rsid w:val="005D3A7C"/>
    <w:rsid w:val="005D3BBC"/>
    <w:rsid w:val="005D5A8E"/>
    <w:rsid w:val="005E26EB"/>
    <w:rsid w:val="005E4414"/>
    <w:rsid w:val="005E59BC"/>
    <w:rsid w:val="005F0729"/>
    <w:rsid w:val="005F1FAC"/>
    <w:rsid w:val="005F33E6"/>
    <w:rsid w:val="005F4FE0"/>
    <w:rsid w:val="006021EC"/>
    <w:rsid w:val="006025D5"/>
    <w:rsid w:val="006103CE"/>
    <w:rsid w:val="0061553F"/>
    <w:rsid w:val="00621A88"/>
    <w:rsid w:val="0062277C"/>
    <w:rsid w:val="00622BDD"/>
    <w:rsid w:val="00622F49"/>
    <w:rsid w:val="006230EF"/>
    <w:rsid w:val="00625AC1"/>
    <w:rsid w:val="00626D8F"/>
    <w:rsid w:val="006332E2"/>
    <w:rsid w:val="0063399F"/>
    <w:rsid w:val="00635A6E"/>
    <w:rsid w:val="00636DB4"/>
    <w:rsid w:val="00641857"/>
    <w:rsid w:val="0064246D"/>
    <w:rsid w:val="006426FB"/>
    <w:rsid w:val="00643E19"/>
    <w:rsid w:val="00643E1E"/>
    <w:rsid w:val="00645379"/>
    <w:rsid w:val="00650232"/>
    <w:rsid w:val="0065497C"/>
    <w:rsid w:val="00654BFA"/>
    <w:rsid w:val="00661C53"/>
    <w:rsid w:val="0066547E"/>
    <w:rsid w:val="0067498F"/>
    <w:rsid w:val="00675964"/>
    <w:rsid w:val="00694C52"/>
    <w:rsid w:val="0069614E"/>
    <w:rsid w:val="00697913"/>
    <w:rsid w:val="006A0D63"/>
    <w:rsid w:val="006A3AC8"/>
    <w:rsid w:val="006A595E"/>
    <w:rsid w:val="006A66C7"/>
    <w:rsid w:val="006B013C"/>
    <w:rsid w:val="006B4B1F"/>
    <w:rsid w:val="006D27E9"/>
    <w:rsid w:val="006D683B"/>
    <w:rsid w:val="006E1C23"/>
    <w:rsid w:val="006F4B75"/>
    <w:rsid w:val="006F4E15"/>
    <w:rsid w:val="006F503C"/>
    <w:rsid w:val="006F771C"/>
    <w:rsid w:val="006F7831"/>
    <w:rsid w:val="00702508"/>
    <w:rsid w:val="00703237"/>
    <w:rsid w:val="007069D4"/>
    <w:rsid w:val="00711716"/>
    <w:rsid w:val="00713771"/>
    <w:rsid w:val="007241B9"/>
    <w:rsid w:val="007251BE"/>
    <w:rsid w:val="00725396"/>
    <w:rsid w:val="00733A3A"/>
    <w:rsid w:val="0073750F"/>
    <w:rsid w:val="00747B41"/>
    <w:rsid w:val="007532AE"/>
    <w:rsid w:val="00753D6B"/>
    <w:rsid w:val="00754249"/>
    <w:rsid w:val="00760C4A"/>
    <w:rsid w:val="00764F1C"/>
    <w:rsid w:val="007658A1"/>
    <w:rsid w:val="007666A8"/>
    <w:rsid w:val="00770F68"/>
    <w:rsid w:val="00774ED8"/>
    <w:rsid w:val="00796046"/>
    <w:rsid w:val="007971FB"/>
    <w:rsid w:val="007A29BC"/>
    <w:rsid w:val="007A44BD"/>
    <w:rsid w:val="007A6CE4"/>
    <w:rsid w:val="007A72C9"/>
    <w:rsid w:val="007C2C60"/>
    <w:rsid w:val="007C61E8"/>
    <w:rsid w:val="007D1B0D"/>
    <w:rsid w:val="007D5BE7"/>
    <w:rsid w:val="007D798E"/>
    <w:rsid w:val="007E1A0D"/>
    <w:rsid w:val="007E647D"/>
    <w:rsid w:val="007F5E2B"/>
    <w:rsid w:val="007F5FFF"/>
    <w:rsid w:val="00801B6C"/>
    <w:rsid w:val="00801BE4"/>
    <w:rsid w:val="0080721E"/>
    <w:rsid w:val="00813C66"/>
    <w:rsid w:val="00820F7E"/>
    <w:rsid w:val="008217BF"/>
    <w:rsid w:val="00821C13"/>
    <w:rsid w:val="00832D9F"/>
    <w:rsid w:val="008332C7"/>
    <w:rsid w:val="00835EB3"/>
    <w:rsid w:val="00841E1F"/>
    <w:rsid w:val="0084610F"/>
    <w:rsid w:val="008513EF"/>
    <w:rsid w:val="00852F76"/>
    <w:rsid w:val="008645C7"/>
    <w:rsid w:val="00867A54"/>
    <w:rsid w:val="00870D44"/>
    <w:rsid w:val="00870EF7"/>
    <w:rsid w:val="00874BBE"/>
    <w:rsid w:val="00880A68"/>
    <w:rsid w:val="00881F72"/>
    <w:rsid w:val="00882E48"/>
    <w:rsid w:val="0088370F"/>
    <w:rsid w:val="0088674E"/>
    <w:rsid w:val="00887179"/>
    <w:rsid w:val="008927C9"/>
    <w:rsid w:val="0089282C"/>
    <w:rsid w:val="00893BD6"/>
    <w:rsid w:val="008A0C29"/>
    <w:rsid w:val="008A1495"/>
    <w:rsid w:val="008A1B88"/>
    <w:rsid w:val="008A513D"/>
    <w:rsid w:val="008A605A"/>
    <w:rsid w:val="008A7F21"/>
    <w:rsid w:val="008B09F2"/>
    <w:rsid w:val="008B3F93"/>
    <w:rsid w:val="008B58E5"/>
    <w:rsid w:val="008B62D0"/>
    <w:rsid w:val="008C6E6C"/>
    <w:rsid w:val="008C6F0F"/>
    <w:rsid w:val="008D1907"/>
    <w:rsid w:val="008D270B"/>
    <w:rsid w:val="008D4ADC"/>
    <w:rsid w:val="008E00E9"/>
    <w:rsid w:val="008E1750"/>
    <w:rsid w:val="008E5A37"/>
    <w:rsid w:val="008E7E89"/>
    <w:rsid w:val="008F221D"/>
    <w:rsid w:val="008F5497"/>
    <w:rsid w:val="008F571F"/>
    <w:rsid w:val="008F65DA"/>
    <w:rsid w:val="00900173"/>
    <w:rsid w:val="009022D5"/>
    <w:rsid w:val="0090325D"/>
    <w:rsid w:val="00904AFE"/>
    <w:rsid w:val="00905721"/>
    <w:rsid w:val="00915E43"/>
    <w:rsid w:val="00916583"/>
    <w:rsid w:val="009201A0"/>
    <w:rsid w:val="00926F00"/>
    <w:rsid w:val="00927E86"/>
    <w:rsid w:val="00934531"/>
    <w:rsid w:val="00934C9C"/>
    <w:rsid w:val="0093736D"/>
    <w:rsid w:val="00941074"/>
    <w:rsid w:val="009433DF"/>
    <w:rsid w:val="00944010"/>
    <w:rsid w:val="009455F8"/>
    <w:rsid w:val="00951007"/>
    <w:rsid w:val="009519E5"/>
    <w:rsid w:val="00965137"/>
    <w:rsid w:val="00970266"/>
    <w:rsid w:val="00971A50"/>
    <w:rsid w:val="00976319"/>
    <w:rsid w:val="009840A7"/>
    <w:rsid w:val="00987409"/>
    <w:rsid w:val="00987F36"/>
    <w:rsid w:val="00994B4F"/>
    <w:rsid w:val="00994E4D"/>
    <w:rsid w:val="009A543B"/>
    <w:rsid w:val="009A63D1"/>
    <w:rsid w:val="009A77FE"/>
    <w:rsid w:val="009B0252"/>
    <w:rsid w:val="009B482A"/>
    <w:rsid w:val="009B7893"/>
    <w:rsid w:val="009C64A2"/>
    <w:rsid w:val="009C7298"/>
    <w:rsid w:val="009D479F"/>
    <w:rsid w:val="009D4F41"/>
    <w:rsid w:val="009D6557"/>
    <w:rsid w:val="009D6E88"/>
    <w:rsid w:val="009D7A6C"/>
    <w:rsid w:val="009E38C2"/>
    <w:rsid w:val="009E38CA"/>
    <w:rsid w:val="009F042F"/>
    <w:rsid w:val="009F0DFB"/>
    <w:rsid w:val="009F23F1"/>
    <w:rsid w:val="009F3E0F"/>
    <w:rsid w:val="009F6613"/>
    <w:rsid w:val="009F6E9D"/>
    <w:rsid w:val="009F742F"/>
    <w:rsid w:val="009F7C12"/>
    <w:rsid w:val="00A05DC6"/>
    <w:rsid w:val="00A12977"/>
    <w:rsid w:val="00A12BB7"/>
    <w:rsid w:val="00A135B5"/>
    <w:rsid w:val="00A16289"/>
    <w:rsid w:val="00A23D20"/>
    <w:rsid w:val="00A268EF"/>
    <w:rsid w:val="00A3296A"/>
    <w:rsid w:val="00A378F0"/>
    <w:rsid w:val="00A43DD6"/>
    <w:rsid w:val="00A505F7"/>
    <w:rsid w:val="00A50A07"/>
    <w:rsid w:val="00A52685"/>
    <w:rsid w:val="00A5377B"/>
    <w:rsid w:val="00A565BE"/>
    <w:rsid w:val="00A57FF0"/>
    <w:rsid w:val="00A61570"/>
    <w:rsid w:val="00A617FC"/>
    <w:rsid w:val="00A64F1F"/>
    <w:rsid w:val="00A651A3"/>
    <w:rsid w:val="00A679D0"/>
    <w:rsid w:val="00A67D69"/>
    <w:rsid w:val="00A72D07"/>
    <w:rsid w:val="00A77AA0"/>
    <w:rsid w:val="00A95917"/>
    <w:rsid w:val="00AA2516"/>
    <w:rsid w:val="00AA7682"/>
    <w:rsid w:val="00AB05EF"/>
    <w:rsid w:val="00AB172F"/>
    <w:rsid w:val="00AB2E5A"/>
    <w:rsid w:val="00AB3119"/>
    <w:rsid w:val="00AB3960"/>
    <w:rsid w:val="00AB6910"/>
    <w:rsid w:val="00AB7E36"/>
    <w:rsid w:val="00AC09B8"/>
    <w:rsid w:val="00AC11DB"/>
    <w:rsid w:val="00AC29C5"/>
    <w:rsid w:val="00AC2FBF"/>
    <w:rsid w:val="00AC37B7"/>
    <w:rsid w:val="00AC47A9"/>
    <w:rsid w:val="00AC5040"/>
    <w:rsid w:val="00AC5480"/>
    <w:rsid w:val="00AD04BB"/>
    <w:rsid w:val="00AD1941"/>
    <w:rsid w:val="00AD46E6"/>
    <w:rsid w:val="00AD53F2"/>
    <w:rsid w:val="00AE0428"/>
    <w:rsid w:val="00AE6383"/>
    <w:rsid w:val="00AE63EB"/>
    <w:rsid w:val="00AE7109"/>
    <w:rsid w:val="00AF0DDF"/>
    <w:rsid w:val="00AF312E"/>
    <w:rsid w:val="00AF6DB0"/>
    <w:rsid w:val="00B00C06"/>
    <w:rsid w:val="00B11449"/>
    <w:rsid w:val="00B1357F"/>
    <w:rsid w:val="00B14920"/>
    <w:rsid w:val="00B174E0"/>
    <w:rsid w:val="00B26B50"/>
    <w:rsid w:val="00B34450"/>
    <w:rsid w:val="00B35A50"/>
    <w:rsid w:val="00B473C2"/>
    <w:rsid w:val="00B47A6D"/>
    <w:rsid w:val="00B5110B"/>
    <w:rsid w:val="00B552F5"/>
    <w:rsid w:val="00B617C9"/>
    <w:rsid w:val="00B637E9"/>
    <w:rsid w:val="00B6640F"/>
    <w:rsid w:val="00B70042"/>
    <w:rsid w:val="00B82C02"/>
    <w:rsid w:val="00B864F5"/>
    <w:rsid w:val="00B870DA"/>
    <w:rsid w:val="00B878A7"/>
    <w:rsid w:val="00B9336F"/>
    <w:rsid w:val="00B96B07"/>
    <w:rsid w:val="00BA152D"/>
    <w:rsid w:val="00BA5062"/>
    <w:rsid w:val="00BB050B"/>
    <w:rsid w:val="00BB66B7"/>
    <w:rsid w:val="00BC0A83"/>
    <w:rsid w:val="00BC0EDB"/>
    <w:rsid w:val="00BC1469"/>
    <w:rsid w:val="00BC4B8D"/>
    <w:rsid w:val="00BC53EC"/>
    <w:rsid w:val="00BD0A48"/>
    <w:rsid w:val="00BD1C11"/>
    <w:rsid w:val="00BD23A5"/>
    <w:rsid w:val="00BD3135"/>
    <w:rsid w:val="00BF5288"/>
    <w:rsid w:val="00BF5D19"/>
    <w:rsid w:val="00BF5EA7"/>
    <w:rsid w:val="00BF6237"/>
    <w:rsid w:val="00BF7956"/>
    <w:rsid w:val="00C0095A"/>
    <w:rsid w:val="00C040AC"/>
    <w:rsid w:val="00C05917"/>
    <w:rsid w:val="00C073FD"/>
    <w:rsid w:val="00C10F35"/>
    <w:rsid w:val="00C12085"/>
    <w:rsid w:val="00C13708"/>
    <w:rsid w:val="00C1424B"/>
    <w:rsid w:val="00C17744"/>
    <w:rsid w:val="00C2332C"/>
    <w:rsid w:val="00C235C5"/>
    <w:rsid w:val="00C2510A"/>
    <w:rsid w:val="00C2597A"/>
    <w:rsid w:val="00C27B89"/>
    <w:rsid w:val="00C331C7"/>
    <w:rsid w:val="00C33916"/>
    <w:rsid w:val="00C34E34"/>
    <w:rsid w:val="00C37183"/>
    <w:rsid w:val="00C428D8"/>
    <w:rsid w:val="00C44DC2"/>
    <w:rsid w:val="00C53291"/>
    <w:rsid w:val="00C569FF"/>
    <w:rsid w:val="00C62836"/>
    <w:rsid w:val="00C66389"/>
    <w:rsid w:val="00C66F34"/>
    <w:rsid w:val="00C71C95"/>
    <w:rsid w:val="00C813CE"/>
    <w:rsid w:val="00C87956"/>
    <w:rsid w:val="00C909E0"/>
    <w:rsid w:val="00C93BA9"/>
    <w:rsid w:val="00C94A50"/>
    <w:rsid w:val="00C9750D"/>
    <w:rsid w:val="00CA0CD3"/>
    <w:rsid w:val="00CA0F90"/>
    <w:rsid w:val="00CA2C89"/>
    <w:rsid w:val="00CA2F4D"/>
    <w:rsid w:val="00CB19DA"/>
    <w:rsid w:val="00CB2CAD"/>
    <w:rsid w:val="00CD1318"/>
    <w:rsid w:val="00CD7EC0"/>
    <w:rsid w:val="00CE3F98"/>
    <w:rsid w:val="00CF024D"/>
    <w:rsid w:val="00D01D75"/>
    <w:rsid w:val="00D12592"/>
    <w:rsid w:val="00D127FA"/>
    <w:rsid w:val="00D12DCE"/>
    <w:rsid w:val="00D12ECD"/>
    <w:rsid w:val="00D20843"/>
    <w:rsid w:val="00D21D68"/>
    <w:rsid w:val="00D224CD"/>
    <w:rsid w:val="00D26F3F"/>
    <w:rsid w:val="00D27BC8"/>
    <w:rsid w:val="00D30011"/>
    <w:rsid w:val="00D30FAB"/>
    <w:rsid w:val="00D31A09"/>
    <w:rsid w:val="00D3231B"/>
    <w:rsid w:val="00D35459"/>
    <w:rsid w:val="00D429F5"/>
    <w:rsid w:val="00D515EC"/>
    <w:rsid w:val="00D53E64"/>
    <w:rsid w:val="00D54C99"/>
    <w:rsid w:val="00D557E2"/>
    <w:rsid w:val="00D623BF"/>
    <w:rsid w:val="00D638ED"/>
    <w:rsid w:val="00D65532"/>
    <w:rsid w:val="00D655A8"/>
    <w:rsid w:val="00D71FD0"/>
    <w:rsid w:val="00D85AB8"/>
    <w:rsid w:val="00D90C3B"/>
    <w:rsid w:val="00D90DE6"/>
    <w:rsid w:val="00D93796"/>
    <w:rsid w:val="00D959E5"/>
    <w:rsid w:val="00D97CDA"/>
    <w:rsid w:val="00DA03A3"/>
    <w:rsid w:val="00DA0DB3"/>
    <w:rsid w:val="00DA436D"/>
    <w:rsid w:val="00DA4532"/>
    <w:rsid w:val="00DB01E9"/>
    <w:rsid w:val="00DB11BD"/>
    <w:rsid w:val="00DC229F"/>
    <w:rsid w:val="00DC23C4"/>
    <w:rsid w:val="00DC3FA5"/>
    <w:rsid w:val="00DC52F3"/>
    <w:rsid w:val="00DE0C77"/>
    <w:rsid w:val="00DE236C"/>
    <w:rsid w:val="00DE3102"/>
    <w:rsid w:val="00DE3B0A"/>
    <w:rsid w:val="00DE4F80"/>
    <w:rsid w:val="00DE69F8"/>
    <w:rsid w:val="00DE6D29"/>
    <w:rsid w:val="00DF3DA0"/>
    <w:rsid w:val="00DF4C1B"/>
    <w:rsid w:val="00E05308"/>
    <w:rsid w:val="00E0676D"/>
    <w:rsid w:val="00E103C7"/>
    <w:rsid w:val="00E10420"/>
    <w:rsid w:val="00E10C5C"/>
    <w:rsid w:val="00E11111"/>
    <w:rsid w:val="00E114C6"/>
    <w:rsid w:val="00E20ED6"/>
    <w:rsid w:val="00E242F1"/>
    <w:rsid w:val="00E264AE"/>
    <w:rsid w:val="00E32E0B"/>
    <w:rsid w:val="00E35578"/>
    <w:rsid w:val="00E42A16"/>
    <w:rsid w:val="00E43C64"/>
    <w:rsid w:val="00E476C2"/>
    <w:rsid w:val="00E5387F"/>
    <w:rsid w:val="00E60389"/>
    <w:rsid w:val="00E63CF6"/>
    <w:rsid w:val="00E64E2C"/>
    <w:rsid w:val="00E66C38"/>
    <w:rsid w:val="00E67734"/>
    <w:rsid w:val="00E77F4C"/>
    <w:rsid w:val="00E8063D"/>
    <w:rsid w:val="00E83AEB"/>
    <w:rsid w:val="00E9191E"/>
    <w:rsid w:val="00E92C33"/>
    <w:rsid w:val="00E932A4"/>
    <w:rsid w:val="00E94496"/>
    <w:rsid w:val="00E94B22"/>
    <w:rsid w:val="00EA0B5F"/>
    <w:rsid w:val="00EB3012"/>
    <w:rsid w:val="00EB3EDB"/>
    <w:rsid w:val="00EC1F5F"/>
    <w:rsid w:val="00EC79CF"/>
    <w:rsid w:val="00ED4C14"/>
    <w:rsid w:val="00ED5A6A"/>
    <w:rsid w:val="00ED642D"/>
    <w:rsid w:val="00ED76AA"/>
    <w:rsid w:val="00ED7E02"/>
    <w:rsid w:val="00EE0763"/>
    <w:rsid w:val="00EE11B0"/>
    <w:rsid w:val="00EF1154"/>
    <w:rsid w:val="00EF1D5B"/>
    <w:rsid w:val="00EF6858"/>
    <w:rsid w:val="00F009E3"/>
    <w:rsid w:val="00F0489E"/>
    <w:rsid w:val="00F04A63"/>
    <w:rsid w:val="00F06A2B"/>
    <w:rsid w:val="00F10CA6"/>
    <w:rsid w:val="00F160C5"/>
    <w:rsid w:val="00F16E5A"/>
    <w:rsid w:val="00F220F1"/>
    <w:rsid w:val="00F24BDB"/>
    <w:rsid w:val="00F2689B"/>
    <w:rsid w:val="00F375EB"/>
    <w:rsid w:val="00F411A6"/>
    <w:rsid w:val="00F43F3E"/>
    <w:rsid w:val="00F45413"/>
    <w:rsid w:val="00F460F3"/>
    <w:rsid w:val="00F46F42"/>
    <w:rsid w:val="00F51FC7"/>
    <w:rsid w:val="00F558FE"/>
    <w:rsid w:val="00F55C5C"/>
    <w:rsid w:val="00F61E66"/>
    <w:rsid w:val="00F652BF"/>
    <w:rsid w:val="00F7351E"/>
    <w:rsid w:val="00F75255"/>
    <w:rsid w:val="00F77BA8"/>
    <w:rsid w:val="00F804CF"/>
    <w:rsid w:val="00F83FB3"/>
    <w:rsid w:val="00F852B9"/>
    <w:rsid w:val="00F9031C"/>
    <w:rsid w:val="00F92B8D"/>
    <w:rsid w:val="00FA29C9"/>
    <w:rsid w:val="00FA5CA6"/>
    <w:rsid w:val="00FA6E06"/>
    <w:rsid w:val="00FB1A9E"/>
    <w:rsid w:val="00FB24AC"/>
    <w:rsid w:val="00FB32A7"/>
    <w:rsid w:val="00FB44CA"/>
    <w:rsid w:val="00FC2D15"/>
    <w:rsid w:val="00FC63D9"/>
    <w:rsid w:val="00FC6861"/>
    <w:rsid w:val="00FC707B"/>
    <w:rsid w:val="00FC7633"/>
    <w:rsid w:val="00FC7EE1"/>
    <w:rsid w:val="00FD03A0"/>
    <w:rsid w:val="00FD5F87"/>
    <w:rsid w:val="00FE2536"/>
    <w:rsid w:val="00FE576F"/>
    <w:rsid w:val="00FE7556"/>
    <w:rsid w:val="00FE766F"/>
    <w:rsid w:val="00FF262B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E4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3E00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3E00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3E00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Revision"/>
    <w:hidden/>
    <w:uiPriority w:val="99"/>
    <w:semiHidden/>
    <w:rsid w:val="00286F97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34358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3582"/>
    <w:rPr>
      <w:sz w:val="20"/>
      <w:szCs w:val="20"/>
    </w:rPr>
  </w:style>
  <w:style w:type="character" w:styleId="aa">
    <w:name w:val="footnote reference"/>
    <w:uiPriority w:val="99"/>
    <w:semiHidden/>
    <w:unhideWhenUsed/>
    <w:rsid w:val="00343582"/>
    <w:rPr>
      <w:vertAlign w:val="superscript"/>
    </w:rPr>
  </w:style>
  <w:style w:type="character" w:styleId="ab">
    <w:name w:val="annotation reference"/>
    <w:uiPriority w:val="99"/>
    <w:semiHidden/>
    <w:unhideWhenUsed/>
    <w:rsid w:val="00D01D75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D01D7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d">
    <w:name w:val="Текст примечания Знак"/>
    <w:basedOn w:val="a0"/>
    <w:link w:val="ac"/>
    <w:uiPriority w:val="99"/>
    <w:rsid w:val="00D01D7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530E48"/>
    <w:pPr>
      <w:ind w:left="720"/>
      <w:contextualSpacing/>
    </w:p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96046"/>
    <w:pPr>
      <w:spacing w:after="160"/>
      <w:jc w:val="left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79604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7A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7271-E2C5-41E4-8434-5AC53401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2024-07-10T12:11:00Z</dcterms:created>
  <dcterms:modified xsi:type="dcterms:W3CDTF">2024-07-11T13:45:00Z</dcterms:modified>
</cp:coreProperties>
</file>